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905"/>
        <w:gridCol w:w="5262"/>
        <w:gridCol w:w="1905"/>
      </w:tblGrid>
      <w:tr w:rsidR="00000000">
        <w:trPr>
          <w:divId w:val="373576125"/>
          <w:tblCellSpacing w:w="0" w:type="dxa"/>
        </w:trPr>
        <w:tc>
          <w:tcPr>
            <w:tcW w:w="1905" w:type="dxa"/>
            <w:hideMark/>
          </w:tcPr>
          <w:p w:rsidR="00000000" w:rsidRDefault="008E0897">
            <w:pPr>
              <w:rPr>
                <w:rFonts w:eastAsia="Times New Roman"/>
              </w:rPr>
            </w:pPr>
            <w:bookmarkStart w:id="0" w:name="top"/>
            <w:bookmarkEnd w:id="0"/>
            <w:r>
              <w:rPr>
                <w:rFonts w:eastAsia="Times New Roman"/>
                <w:noProof/>
              </w:rPr>
              <w:drawing>
                <wp:inline distT="0" distB="0" distL="0" distR="0">
                  <wp:extent cx="1209524" cy="495238"/>
                  <wp:effectExtent l="0" t="0" r="0" b="635"/>
                  <wp:docPr id="1" name="Picture 1" descr="http://ec.europa.eu/eurostat/cache/metadata/img/estat_c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eurostat/cache/metadata/img/estat_ce-05.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209524" cy="495238"/>
                          </a:xfrm>
                          <a:prstGeom prst="rect">
                            <a:avLst/>
                          </a:prstGeom>
                          <a:noFill/>
                          <a:ln>
                            <a:noFill/>
                          </a:ln>
                        </pic:spPr>
                      </pic:pic>
                    </a:graphicData>
                  </a:graphic>
                </wp:inline>
              </w:drawing>
            </w:r>
          </w:p>
        </w:tc>
        <w:tc>
          <w:tcPr>
            <w:tcW w:w="0" w:type="auto"/>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5262"/>
            </w:tblGrid>
            <w:tr w:rsidR="00000000">
              <w:trPr>
                <w:tblCellSpacing w:w="0" w:type="dxa"/>
                <w:jc w:val="center"/>
              </w:trPr>
              <w:tc>
                <w:tcPr>
                  <w:tcW w:w="0" w:type="auto"/>
                  <w:shd w:val="clear" w:color="auto" w:fill="FFCC99"/>
                  <w:vAlign w:val="center"/>
                  <w:hideMark/>
                </w:tcPr>
                <w:p w:rsidR="00000000" w:rsidRDefault="008E0897">
                  <w:pPr>
                    <w:pStyle w:val="heading1"/>
                    <w:rPr>
                      <w:b/>
                      <w:bCs/>
                    </w:rPr>
                  </w:pPr>
                  <w:r>
                    <w:rPr>
                      <w:b/>
                      <w:bCs/>
                    </w:rPr>
                    <w:t>Service producer prices (SPPI) (</w:t>
                  </w:r>
                  <w:proofErr w:type="spellStart"/>
                  <w:r>
                    <w:rPr>
                      <w:b/>
                      <w:bCs/>
                    </w:rPr>
                    <w:t>sts_os_pp</w:t>
                  </w:r>
                  <w:proofErr w:type="spellEnd"/>
                  <w:r>
                    <w:rPr>
                      <w:b/>
                      <w:bCs/>
                    </w:rPr>
                    <w:t>)</w:t>
                  </w:r>
                </w:p>
                <w:p w:rsidR="00000000" w:rsidRDefault="008E0897">
                  <w:pPr>
                    <w:pStyle w:val="heading1"/>
                    <w:spacing w:line="360" w:lineRule="auto"/>
                  </w:pPr>
                  <w:r>
                    <w:t>National Reference Metadata in Euro SDMX Metadata Structure (ESMS)</w:t>
                  </w:r>
                </w:p>
                <w:p w:rsidR="00000000" w:rsidRDefault="008E0897">
                  <w:pPr>
                    <w:pStyle w:val="heading1"/>
                  </w:pPr>
                  <w:r>
                    <w:t>Compiling agency: NIS (National Institute for Statistics) is r</w:t>
                  </w:r>
                  <w:r>
                    <w:t>esponsible for the data collection and dissemination.</w:t>
                  </w:r>
                </w:p>
              </w:tc>
            </w:tr>
          </w:tbl>
          <w:p w:rsidR="00000000" w:rsidRDefault="008E0897">
            <w:pPr>
              <w:rPr>
                <w:rFonts w:eastAsia="Times New Roman"/>
              </w:rPr>
            </w:pPr>
          </w:p>
        </w:tc>
        <w:tc>
          <w:tcPr>
            <w:tcW w:w="1905" w:type="dxa"/>
            <w:hideMark/>
          </w:tcPr>
          <w:p w:rsidR="00000000" w:rsidRDefault="008E0897">
            <w:pPr>
              <w:jc w:val="right"/>
              <w:rPr>
                <w:rFonts w:eastAsia="Times New Roman"/>
              </w:rPr>
            </w:pPr>
            <w:r>
              <w:rPr>
                <w:rFonts w:eastAsia="Times New Roman"/>
                <w:noProof/>
              </w:rPr>
              <w:drawing>
                <wp:inline distT="0" distB="0" distL="0" distR="0">
                  <wp:extent cx="857250" cy="381000"/>
                  <wp:effectExtent l="0" t="0" r="0" b="0"/>
                  <wp:docPr id="2" name="Picture 2" descr="http://ec.europa.eu/eurostat/cache/metadata/im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eurostat/cache/metadata/img/ro.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noFill/>
                          <a:ln>
                            <a:noFill/>
                          </a:ln>
                        </pic:spPr>
                      </pic:pic>
                    </a:graphicData>
                  </a:graphic>
                </wp:inline>
              </w:drawing>
            </w:r>
          </w:p>
        </w:tc>
      </w:tr>
    </w:tbl>
    <w:p w:rsidR="00000000" w:rsidRDefault="008E0897">
      <w:pPr>
        <w:pStyle w:val="doccommon1"/>
        <w:shd w:val="clear" w:color="auto" w:fill="FFFFFF"/>
        <w:divId w:val="373576125"/>
      </w:pPr>
    </w:p>
    <w:tbl>
      <w:tblPr>
        <w:tblW w:w="5000" w:type="pct"/>
        <w:tblCellMar>
          <w:left w:w="0" w:type="dxa"/>
          <w:right w:w="0" w:type="dxa"/>
        </w:tblCellMar>
        <w:tblLook w:val="04A0" w:firstRow="1" w:lastRow="0" w:firstColumn="1" w:lastColumn="0" w:noHBand="0" w:noVBand="1"/>
      </w:tblPr>
      <w:tblGrid>
        <w:gridCol w:w="4082"/>
        <w:gridCol w:w="4990"/>
      </w:tblGrid>
      <w:tr w:rsidR="00000000">
        <w:trPr>
          <w:divId w:val="373576125"/>
        </w:trPr>
        <w:tc>
          <w:tcPr>
            <w:tcW w:w="2250" w:type="pct"/>
            <w:hideMark/>
          </w:tcPr>
          <w:tbl>
            <w:tblPr>
              <w:tblW w:w="4000" w:type="pct"/>
              <w:tblCellMar>
                <w:left w:w="0" w:type="dxa"/>
                <w:right w:w="0" w:type="dxa"/>
              </w:tblCellMar>
              <w:tblLook w:val="04A0" w:firstRow="1" w:lastRow="0" w:firstColumn="1" w:lastColumn="0" w:noHBand="0" w:noVBand="1"/>
            </w:tblPr>
            <w:tblGrid>
              <w:gridCol w:w="3250"/>
            </w:tblGrid>
            <w:tr w:rsidR="00000000">
              <w:tc>
                <w:tcPr>
                  <w:tcW w:w="0" w:type="auto"/>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p w:rsidR="00000000" w:rsidRDefault="008E0897">
                  <w:pPr>
                    <w:jc w:val="center"/>
                    <w:rPr>
                      <w:rFonts w:eastAsia="Times New Roman"/>
                      <w:b/>
                      <w:bCs/>
                      <w:color w:val="000000"/>
                      <w:sz w:val="32"/>
                      <w:szCs w:val="32"/>
                    </w:rPr>
                  </w:pPr>
                  <w:r>
                    <w:rPr>
                      <w:rFonts w:eastAsia="Times New Roman"/>
                      <w:b/>
                      <w:bCs/>
                      <w:color w:val="000000"/>
                      <w:sz w:val="32"/>
                      <w:szCs w:val="32"/>
                    </w:rPr>
                    <w:t>Eurostat metadata</w:t>
                  </w:r>
                </w:p>
              </w:tc>
            </w:tr>
            <w:tr w:rsidR="00000000">
              <w:trPr>
                <w:trHeight w:val="300"/>
              </w:trPr>
              <w:tc>
                <w:tcPr>
                  <w:tcW w:w="0" w:type="auto"/>
                  <w:tcBorders>
                    <w:top w:val="single" w:sz="8" w:space="0" w:color="000000"/>
                    <w:left w:val="single" w:sz="8" w:space="0" w:color="000000"/>
                    <w:bottom w:val="nil"/>
                    <w:right w:val="single" w:sz="8" w:space="0" w:color="000000"/>
                  </w:tcBorders>
                  <w:tcMar>
                    <w:top w:w="20" w:type="dxa"/>
                    <w:left w:w="129" w:type="dxa"/>
                    <w:bottom w:w="20" w:type="dxa"/>
                    <w:right w:w="129" w:type="dxa"/>
                  </w:tcMar>
                  <w:hideMark/>
                </w:tcPr>
                <w:p w:rsidR="00000000" w:rsidRDefault="008E0897">
                  <w:pPr>
                    <w:jc w:val="center"/>
                    <w:rPr>
                      <w:rFonts w:eastAsia="Times New Roman"/>
                      <w:sz w:val="22"/>
                      <w:szCs w:val="22"/>
                    </w:rPr>
                  </w:pPr>
                  <w:r>
                    <w:rPr>
                      <w:rFonts w:eastAsia="Times New Roman"/>
                      <w:b/>
                      <w:bCs/>
                      <w:sz w:val="22"/>
                      <w:szCs w:val="22"/>
                    </w:rPr>
                    <w:t>Reference metadata</w:t>
                  </w:r>
                </w:p>
              </w:tc>
            </w:tr>
            <w:tr w:rsidR="00000000">
              <w:trPr>
                <w:trHeight w:val="300"/>
              </w:trPr>
              <w:tc>
                <w:tcPr>
                  <w:tcW w:w="0" w:type="auto"/>
                  <w:tcBorders>
                    <w:top w:val="nil"/>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rPr>
                      <w:rFonts w:eastAsia="Times New Roman"/>
                      <w:sz w:val="22"/>
                      <w:szCs w:val="22"/>
                    </w:rPr>
                  </w:pPr>
                  <w:hyperlink w:anchor="contact1633422758528" w:history="1">
                    <w:r>
                      <w:rPr>
                        <w:rFonts w:eastAsia="Times New Roman"/>
                        <w:color w:val="0F4BA0"/>
                        <w:sz w:val="22"/>
                        <w:szCs w:val="22"/>
                        <w:u w:val="single"/>
                      </w:rPr>
                      <w:t>1. Contact</w:t>
                    </w:r>
                  </w:hyperlink>
                  <w:r>
                    <w:rPr>
                      <w:rFonts w:eastAsia="Times New Roman"/>
                      <w:sz w:val="22"/>
                      <w:szCs w:val="22"/>
                    </w:rPr>
                    <w:t xml:space="preserve"> </w:t>
                  </w:r>
                  <w:r>
                    <w:rPr>
                      <w:rFonts w:eastAsia="Times New Roman"/>
                      <w:sz w:val="22"/>
                      <w:szCs w:val="22"/>
                    </w:rPr>
                    <w:br/>
                  </w:r>
                  <w:hyperlink w:anchor="meta_update1633422758528" w:history="1">
                    <w:r>
                      <w:rPr>
                        <w:rFonts w:eastAsia="Times New Roman"/>
                        <w:color w:val="0F4BA0"/>
                        <w:sz w:val="22"/>
                        <w:szCs w:val="22"/>
                        <w:u w:val="single"/>
                      </w:rPr>
                      <w:t>2. Metadata update</w:t>
                    </w:r>
                  </w:hyperlink>
                  <w:r>
                    <w:rPr>
                      <w:rFonts w:eastAsia="Times New Roman"/>
                      <w:sz w:val="22"/>
                      <w:szCs w:val="22"/>
                    </w:rPr>
                    <w:t xml:space="preserve"> </w:t>
                  </w:r>
                  <w:r>
                    <w:rPr>
                      <w:rFonts w:eastAsia="Times New Roman"/>
                      <w:sz w:val="22"/>
                      <w:szCs w:val="22"/>
                    </w:rPr>
                    <w:br/>
                  </w:r>
                  <w:hyperlink w:anchor="stat_pres1633422758528" w:history="1">
                    <w:r>
                      <w:rPr>
                        <w:rFonts w:eastAsia="Times New Roman"/>
                        <w:color w:val="0F4BA0"/>
                        <w:sz w:val="22"/>
                        <w:szCs w:val="22"/>
                        <w:u w:val="single"/>
                      </w:rPr>
                      <w:t>3. Statistical presentation</w:t>
                    </w:r>
                  </w:hyperlink>
                  <w:r>
                    <w:rPr>
                      <w:rFonts w:eastAsia="Times New Roman"/>
                      <w:sz w:val="22"/>
                      <w:szCs w:val="22"/>
                    </w:rPr>
                    <w:t xml:space="preserve"> </w:t>
                  </w:r>
                  <w:r>
                    <w:rPr>
                      <w:rFonts w:eastAsia="Times New Roman"/>
                      <w:sz w:val="22"/>
                      <w:szCs w:val="22"/>
                    </w:rPr>
                    <w:br/>
                  </w:r>
                  <w:hyperlink w:anchor="unit_measure1633422758528" w:history="1">
                    <w:r>
                      <w:rPr>
                        <w:rFonts w:eastAsia="Times New Roman"/>
                        <w:color w:val="0F4BA0"/>
                        <w:sz w:val="22"/>
                        <w:szCs w:val="22"/>
                        <w:u w:val="single"/>
                      </w:rPr>
                      <w:t>4. Unit of measure</w:t>
                    </w:r>
                  </w:hyperlink>
                  <w:r>
                    <w:rPr>
                      <w:rFonts w:eastAsia="Times New Roman"/>
                      <w:sz w:val="22"/>
                      <w:szCs w:val="22"/>
                    </w:rPr>
                    <w:t xml:space="preserve"> </w:t>
                  </w:r>
                  <w:r>
                    <w:rPr>
                      <w:rFonts w:eastAsia="Times New Roman"/>
                      <w:sz w:val="22"/>
                      <w:szCs w:val="22"/>
                    </w:rPr>
                    <w:br/>
                  </w:r>
                  <w:hyperlink w:anchor="ref_period1633422758528" w:history="1">
                    <w:r>
                      <w:rPr>
                        <w:rFonts w:eastAsia="Times New Roman"/>
                        <w:color w:val="0F4BA0"/>
                        <w:sz w:val="22"/>
                        <w:szCs w:val="22"/>
                        <w:u w:val="single"/>
                      </w:rPr>
                      <w:t>5. Reference Period</w:t>
                    </w:r>
                  </w:hyperlink>
                  <w:r>
                    <w:rPr>
                      <w:rFonts w:eastAsia="Times New Roman"/>
                      <w:sz w:val="22"/>
                      <w:szCs w:val="22"/>
                    </w:rPr>
                    <w:t xml:space="preserve"> </w:t>
                  </w:r>
                  <w:r>
                    <w:rPr>
                      <w:rFonts w:eastAsia="Times New Roman"/>
                      <w:sz w:val="22"/>
                      <w:szCs w:val="22"/>
                    </w:rPr>
                    <w:br/>
                  </w:r>
                  <w:hyperlink w:anchor="inst_mandate1633422758528" w:history="1">
                    <w:r>
                      <w:rPr>
                        <w:rFonts w:eastAsia="Times New Roman"/>
                        <w:color w:val="0F4BA0"/>
                        <w:sz w:val="22"/>
                        <w:szCs w:val="22"/>
                        <w:u w:val="single"/>
                      </w:rPr>
                      <w:t>6. Institutional Mandate</w:t>
                    </w:r>
                  </w:hyperlink>
                  <w:r>
                    <w:rPr>
                      <w:rFonts w:eastAsia="Times New Roman"/>
                      <w:sz w:val="22"/>
                      <w:szCs w:val="22"/>
                    </w:rPr>
                    <w:t xml:space="preserve"> </w:t>
                  </w:r>
                  <w:r>
                    <w:rPr>
                      <w:rFonts w:eastAsia="Times New Roman"/>
                      <w:sz w:val="22"/>
                      <w:szCs w:val="22"/>
                    </w:rPr>
                    <w:br/>
                  </w:r>
                  <w:hyperlink w:anchor="conf1633422758528" w:history="1">
                    <w:r>
                      <w:rPr>
                        <w:rFonts w:eastAsia="Times New Roman"/>
                        <w:color w:val="0F4BA0"/>
                        <w:sz w:val="22"/>
                        <w:szCs w:val="22"/>
                        <w:u w:val="single"/>
                      </w:rPr>
                      <w:t>7. Confidentiality</w:t>
                    </w:r>
                  </w:hyperlink>
                  <w:r>
                    <w:rPr>
                      <w:rFonts w:eastAsia="Times New Roman"/>
                      <w:sz w:val="22"/>
                      <w:szCs w:val="22"/>
                    </w:rPr>
                    <w:t xml:space="preserve"> </w:t>
                  </w:r>
                  <w:r>
                    <w:rPr>
                      <w:rFonts w:eastAsia="Times New Roman"/>
                      <w:sz w:val="22"/>
                      <w:szCs w:val="22"/>
                    </w:rPr>
                    <w:br/>
                  </w:r>
                  <w:hyperlink w:anchor="rel_policy1633422758528" w:history="1">
                    <w:r>
                      <w:rPr>
                        <w:rFonts w:eastAsia="Times New Roman"/>
                        <w:color w:val="0F4BA0"/>
                        <w:sz w:val="22"/>
                        <w:szCs w:val="22"/>
                        <w:u w:val="single"/>
                      </w:rPr>
                      <w:t>8. Release policy</w:t>
                    </w:r>
                  </w:hyperlink>
                  <w:r>
                    <w:rPr>
                      <w:rFonts w:eastAsia="Times New Roman"/>
                      <w:sz w:val="22"/>
                      <w:szCs w:val="22"/>
                    </w:rPr>
                    <w:t xml:space="preserve"> </w:t>
                  </w:r>
                  <w:r>
                    <w:rPr>
                      <w:rFonts w:eastAsia="Times New Roman"/>
                      <w:sz w:val="22"/>
                      <w:szCs w:val="22"/>
                    </w:rPr>
                    <w:br/>
                  </w:r>
                  <w:hyperlink w:anchor="freq_diss1633422758528" w:history="1">
                    <w:r>
                      <w:rPr>
                        <w:rFonts w:eastAsia="Times New Roman"/>
                        <w:color w:val="0F4BA0"/>
                        <w:sz w:val="22"/>
                        <w:szCs w:val="22"/>
                        <w:u w:val="single"/>
                      </w:rPr>
                      <w:t>9. Frequency of dissemination</w:t>
                    </w:r>
                  </w:hyperlink>
                  <w:r>
                    <w:rPr>
                      <w:rFonts w:eastAsia="Times New Roman"/>
                      <w:sz w:val="22"/>
                      <w:szCs w:val="22"/>
                    </w:rPr>
                    <w:t xml:space="preserve"> </w:t>
                  </w:r>
                  <w:r>
                    <w:rPr>
                      <w:rFonts w:eastAsia="Times New Roman"/>
                      <w:sz w:val="22"/>
                      <w:szCs w:val="22"/>
                    </w:rPr>
                    <w:br/>
                  </w:r>
                  <w:hyperlink w:anchor="accessibility_clarity1633422758528" w:history="1">
                    <w:r>
                      <w:rPr>
                        <w:rFonts w:eastAsia="Times New Roman"/>
                        <w:color w:val="0F4BA0"/>
                        <w:sz w:val="22"/>
                        <w:szCs w:val="22"/>
                        <w:u w:val="single"/>
                      </w:rPr>
                      <w:t>10. Accessibilit</w:t>
                    </w:r>
                    <w:r>
                      <w:rPr>
                        <w:rFonts w:eastAsia="Times New Roman"/>
                        <w:color w:val="0F4BA0"/>
                        <w:sz w:val="22"/>
                        <w:szCs w:val="22"/>
                        <w:u w:val="single"/>
                      </w:rPr>
                      <w:t>y and clarity</w:t>
                    </w:r>
                  </w:hyperlink>
                  <w:r>
                    <w:rPr>
                      <w:rFonts w:eastAsia="Times New Roman"/>
                      <w:sz w:val="22"/>
                      <w:szCs w:val="22"/>
                    </w:rPr>
                    <w:t xml:space="preserve"> </w:t>
                  </w:r>
                  <w:r>
                    <w:rPr>
                      <w:rFonts w:eastAsia="Times New Roman"/>
                      <w:sz w:val="22"/>
                      <w:szCs w:val="22"/>
                    </w:rPr>
                    <w:br/>
                  </w:r>
                  <w:hyperlink w:anchor="quality_mgmnt1633422758528" w:history="1">
                    <w:r>
                      <w:rPr>
                        <w:rFonts w:eastAsia="Times New Roman"/>
                        <w:color w:val="0F4BA0"/>
                        <w:sz w:val="22"/>
                        <w:szCs w:val="22"/>
                        <w:u w:val="single"/>
                      </w:rPr>
                      <w:t>11. Quality management</w:t>
                    </w:r>
                  </w:hyperlink>
                  <w:r>
                    <w:rPr>
                      <w:rFonts w:eastAsia="Times New Roman"/>
                      <w:sz w:val="22"/>
                      <w:szCs w:val="22"/>
                    </w:rPr>
                    <w:t xml:space="preserve"> </w:t>
                  </w:r>
                  <w:r>
                    <w:rPr>
                      <w:rFonts w:eastAsia="Times New Roman"/>
                      <w:sz w:val="22"/>
                      <w:szCs w:val="22"/>
                    </w:rPr>
                    <w:br/>
                  </w:r>
                  <w:hyperlink w:anchor="relevance1633422758528" w:history="1">
                    <w:r>
                      <w:rPr>
                        <w:rFonts w:eastAsia="Times New Roman"/>
                        <w:color w:val="0F4BA0"/>
                        <w:sz w:val="22"/>
                        <w:szCs w:val="22"/>
                        <w:u w:val="single"/>
                      </w:rPr>
                      <w:t>12. Relevance</w:t>
                    </w:r>
                  </w:hyperlink>
                  <w:r>
                    <w:rPr>
                      <w:rFonts w:eastAsia="Times New Roman"/>
                      <w:sz w:val="22"/>
                      <w:szCs w:val="22"/>
                    </w:rPr>
                    <w:t xml:space="preserve"> </w:t>
                  </w:r>
                  <w:r>
                    <w:rPr>
                      <w:rFonts w:eastAsia="Times New Roman"/>
                      <w:sz w:val="22"/>
                      <w:szCs w:val="22"/>
                    </w:rPr>
                    <w:br/>
                  </w:r>
                  <w:hyperlink w:anchor="accuracy1633422758528" w:history="1">
                    <w:r>
                      <w:rPr>
                        <w:rFonts w:eastAsia="Times New Roman"/>
                        <w:color w:val="0F4BA0"/>
                        <w:sz w:val="22"/>
                        <w:szCs w:val="22"/>
                        <w:u w:val="single"/>
                      </w:rPr>
                      <w:t>13. Accuracy</w:t>
                    </w:r>
                  </w:hyperlink>
                  <w:r>
                    <w:rPr>
                      <w:rFonts w:eastAsia="Times New Roman"/>
                      <w:sz w:val="22"/>
                      <w:szCs w:val="22"/>
                    </w:rPr>
                    <w:t xml:space="preserve"> </w:t>
                  </w:r>
                  <w:r>
                    <w:rPr>
                      <w:rFonts w:eastAsia="Times New Roman"/>
                      <w:sz w:val="22"/>
                      <w:szCs w:val="22"/>
                    </w:rPr>
                    <w:br/>
                  </w:r>
                  <w:hyperlink w:anchor="timeliness_punct1633422758528" w:history="1">
                    <w:r>
                      <w:rPr>
                        <w:rFonts w:eastAsia="Times New Roman"/>
                        <w:color w:val="0F4BA0"/>
                        <w:sz w:val="22"/>
                        <w:szCs w:val="22"/>
                        <w:u w:val="single"/>
                      </w:rPr>
                      <w:t>14. Timeliness and punctuality</w:t>
                    </w:r>
                  </w:hyperlink>
                  <w:r>
                    <w:rPr>
                      <w:rFonts w:eastAsia="Times New Roman"/>
                      <w:sz w:val="22"/>
                      <w:szCs w:val="22"/>
                    </w:rPr>
                    <w:t xml:space="preserve"> </w:t>
                  </w:r>
                  <w:r>
                    <w:rPr>
                      <w:rFonts w:eastAsia="Times New Roman"/>
                      <w:sz w:val="22"/>
                      <w:szCs w:val="22"/>
                    </w:rPr>
                    <w:br/>
                  </w:r>
                  <w:hyperlink w:anchor="coher_compar1633422758528" w:history="1">
                    <w:r>
                      <w:rPr>
                        <w:rFonts w:eastAsia="Times New Roman"/>
                        <w:color w:val="0F4BA0"/>
                        <w:sz w:val="22"/>
                        <w:szCs w:val="22"/>
                        <w:u w:val="single"/>
                      </w:rPr>
                      <w:t>15. Coherence and comparability</w:t>
                    </w:r>
                  </w:hyperlink>
                  <w:r>
                    <w:rPr>
                      <w:rFonts w:eastAsia="Times New Roman"/>
                      <w:sz w:val="22"/>
                      <w:szCs w:val="22"/>
                    </w:rPr>
                    <w:t xml:space="preserve"> </w:t>
                  </w:r>
                  <w:r>
                    <w:rPr>
                      <w:rFonts w:eastAsia="Times New Roman"/>
                      <w:sz w:val="22"/>
                      <w:szCs w:val="22"/>
                    </w:rPr>
                    <w:br/>
                  </w:r>
                  <w:hyperlink w:anchor="cost_burden1633422758528" w:history="1">
                    <w:r>
                      <w:rPr>
                        <w:rFonts w:eastAsia="Times New Roman"/>
                        <w:color w:val="0F4BA0"/>
                        <w:sz w:val="22"/>
                        <w:szCs w:val="22"/>
                        <w:u w:val="single"/>
                      </w:rPr>
                      <w:t>16. Cost and Burden</w:t>
                    </w:r>
                  </w:hyperlink>
                  <w:r>
                    <w:rPr>
                      <w:rFonts w:eastAsia="Times New Roman"/>
                      <w:sz w:val="22"/>
                      <w:szCs w:val="22"/>
                    </w:rPr>
                    <w:t xml:space="preserve"> </w:t>
                  </w:r>
                  <w:r>
                    <w:rPr>
                      <w:rFonts w:eastAsia="Times New Roman"/>
                      <w:sz w:val="22"/>
                      <w:szCs w:val="22"/>
                    </w:rPr>
                    <w:br/>
                  </w:r>
                  <w:hyperlink w:anchor="data_rev1633422758528" w:history="1">
                    <w:r>
                      <w:rPr>
                        <w:rFonts w:eastAsia="Times New Roman"/>
                        <w:color w:val="0F4BA0"/>
                        <w:sz w:val="22"/>
                        <w:szCs w:val="22"/>
                        <w:u w:val="single"/>
                      </w:rPr>
                      <w:t>17. Data revision</w:t>
                    </w:r>
                  </w:hyperlink>
                  <w:r>
                    <w:rPr>
                      <w:rFonts w:eastAsia="Times New Roman"/>
                      <w:sz w:val="22"/>
                      <w:szCs w:val="22"/>
                    </w:rPr>
                    <w:t xml:space="preserve"> </w:t>
                  </w:r>
                  <w:r>
                    <w:rPr>
                      <w:rFonts w:eastAsia="Times New Roman"/>
                      <w:sz w:val="22"/>
                      <w:szCs w:val="22"/>
                    </w:rPr>
                    <w:br/>
                  </w:r>
                  <w:hyperlink w:anchor="stat_process1633422758528" w:history="1">
                    <w:r>
                      <w:rPr>
                        <w:rFonts w:eastAsia="Times New Roman"/>
                        <w:color w:val="0F4BA0"/>
                        <w:sz w:val="22"/>
                        <w:szCs w:val="22"/>
                        <w:u w:val="single"/>
                      </w:rPr>
                      <w:t>18. Statistical processing</w:t>
                    </w:r>
                  </w:hyperlink>
                  <w:r>
                    <w:rPr>
                      <w:rFonts w:eastAsia="Times New Roman"/>
                      <w:sz w:val="22"/>
                      <w:szCs w:val="22"/>
                    </w:rPr>
                    <w:t xml:space="preserve"> </w:t>
                  </w:r>
                  <w:r>
                    <w:rPr>
                      <w:rFonts w:eastAsia="Times New Roman"/>
                      <w:sz w:val="22"/>
                      <w:szCs w:val="22"/>
                    </w:rPr>
                    <w:br/>
                  </w:r>
                  <w:hyperlink w:anchor="comment_dset1633422758528" w:history="1">
                    <w:r>
                      <w:rPr>
                        <w:rFonts w:eastAsia="Times New Roman"/>
                        <w:color w:val="0F4BA0"/>
                        <w:sz w:val="22"/>
                        <w:szCs w:val="22"/>
                        <w:u w:val="single"/>
                      </w:rPr>
                      <w:t>19. Comment</w:t>
                    </w:r>
                  </w:hyperlink>
                  <w:r>
                    <w:rPr>
                      <w:rFonts w:eastAsia="Times New Roman"/>
                      <w:sz w:val="22"/>
                      <w:szCs w:val="22"/>
                    </w:rPr>
                    <w:t xml:space="preserve"> </w:t>
                  </w:r>
                  <w:r>
                    <w:rPr>
                      <w:rFonts w:eastAsia="Times New Roman"/>
                      <w:sz w:val="22"/>
                      <w:szCs w:val="22"/>
                    </w:rPr>
                    <w:br/>
                  </w:r>
                  <w:hyperlink w:anchor="relatedmd1633422758528" w:history="1">
                    <w:r>
                      <w:rPr>
                        <w:rFonts w:eastAsia="Times New Roman"/>
                        <w:color w:val="0F4BA0"/>
                        <w:sz w:val="22"/>
                        <w:szCs w:val="22"/>
                        <w:u w:val="single"/>
                      </w:rPr>
                      <w:t>Related Metadata</w:t>
                    </w:r>
                  </w:hyperlink>
                  <w:r>
                    <w:rPr>
                      <w:rFonts w:eastAsia="Times New Roman"/>
                      <w:sz w:val="22"/>
                      <w:szCs w:val="22"/>
                    </w:rPr>
                    <w:t xml:space="preserve"> </w:t>
                  </w:r>
                  <w:r>
                    <w:rPr>
                      <w:rFonts w:eastAsia="Times New Roman"/>
                      <w:sz w:val="22"/>
                      <w:szCs w:val="22"/>
                    </w:rPr>
                    <w:br/>
                  </w:r>
                  <w:hyperlink w:anchor="annex1633422758528" w:history="1">
                    <w:r>
                      <w:rPr>
                        <w:rFonts w:eastAsia="Times New Roman"/>
                        <w:color w:val="0F4BA0"/>
                        <w:sz w:val="22"/>
                        <w:szCs w:val="22"/>
                        <w:u w:val="single"/>
                      </w:rPr>
                      <w:t>Annexes</w:t>
                    </w:r>
                  </w:hyperlink>
                  <w:r>
                    <w:rPr>
                      <w:rFonts w:eastAsia="Times New Roman"/>
                      <w:sz w:val="22"/>
                      <w:szCs w:val="22"/>
                    </w:rPr>
                    <w:t xml:space="preserve"> </w:t>
                  </w:r>
                  <w:r>
                    <w:rPr>
                      <w:rFonts w:eastAsia="Times New Roman"/>
                      <w:sz w:val="22"/>
                      <w:szCs w:val="22"/>
                    </w:rPr>
                    <w:t xml:space="preserve">(including footnotes) </w:t>
                  </w:r>
                </w:p>
              </w:tc>
            </w:tr>
          </w:tbl>
          <w:p w:rsidR="00000000" w:rsidRDefault="008E0897">
            <w:pPr>
              <w:rPr>
                <w:rFonts w:eastAsia="Times New Roman"/>
              </w:rPr>
            </w:pPr>
          </w:p>
        </w:tc>
        <w:tc>
          <w:tcPr>
            <w:tcW w:w="2750" w:type="pct"/>
            <w:vAlign w:val="center"/>
            <w:hideMark/>
          </w:tcPr>
          <w:p w:rsidR="00000000" w:rsidRDefault="008E0897">
            <w:pPr>
              <w:rPr>
                <w:rFonts w:eastAsia="Times New Roman"/>
              </w:rPr>
            </w:pPr>
            <w:r>
              <w:rPr>
                <w:rFonts w:eastAsia="Times New Roman"/>
              </w:rPr>
              <w:t> </w:t>
            </w:r>
          </w:p>
        </w:tc>
      </w:tr>
    </w:tbl>
    <w:p w:rsidR="00000000" w:rsidRDefault="008E0897">
      <w:pPr>
        <w:pStyle w:val="doccommon1"/>
        <w:shd w:val="clear" w:color="auto" w:fill="FFFFFF"/>
        <w:divId w:val="373576125"/>
      </w:pPr>
    </w:p>
    <w:tbl>
      <w:tblPr>
        <w:tblW w:w="4950" w:type="pct"/>
        <w:tblCellSpacing w:w="0" w:type="dxa"/>
        <w:tblCellMar>
          <w:left w:w="0" w:type="dxa"/>
          <w:right w:w="0" w:type="dxa"/>
        </w:tblCellMar>
        <w:tblLook w:val="04A0" w:firstRow="1" w:lastRow="0" w:firstColumn="1" w:lastColumn="0" w:noHBand="0" w:noVBand="1"/>
      </w:tblPr>
      <w:tblGrid>
        <w:gridCol w:w="7584"/>
        <w:gridCol w:w="180"/>
        <w:gridCol w:w="1217"/>
      </w:tblGrid>
      <w:tr w:rsidR="00000000">
        <w:trPr>
          <w:divId w:val="373576125"/>
          <w:tblCellSpacing w:w="0" w:type="dxa"/>
        </w:trPr>
        <w:tc>
          <w:tcPr>
            <w:tcW w:w="0" w:type="auto"/>
            <w:vAlign w:val="center"/>
            <w:hideMark/>
          </w:tcPr>
          <w:p w:rsidR="00000000" w:rsidRDefault="008E0897">
            <w:pPr>
              <w:rPr>
                <w:rFonts w:eastAsia="Times New Roman"/>
                <w:sz w:val="22"/>
                <w:szCs w:val="22"/>
              </w:rPr>
            </w:pPr>
            <w:r>
              <w:rPr>
                <w:rFonts w:eastAsia="Times New Roman"/>
                <w:sz w:val="22"/>
                <w:szCs w:val="22"/>
              </w:rPr>
              <w:br/>
              <w:t xml:space="preserve">For any question on data and metadata, please contact: </w:t>
            </w:r>
            <w:hyperlink r:id="rId7" w:tgtFrame="_blank" w:history="1">
              <w:r>
                <w:rPr>
                  <w:rFonts w:eastAsia="Times New Roman"/>
                  <w:color w:val="0F4BA0"/>
                  <w:sz w:val="22"/>
                  <w:szCs w:val="22"/>
                  <w:u w:val="single"/>
                </w:rPr>
                <w:t>EUROPEAN STATISTICAL DATA SUPPORT</w:t>
              </w:r>
            </w:hyperlink>
          </w:p>
        </w:tc>
        <w:tc>
          <w:tcPr>
            <w:tcW w:w="100" w:type="pct"/>
            <w:vAlign w:val="center"/>
            <w:hideMark/>
          </w:tcPr>
          <w:p w:rsidR="00000000" w:rsidRDefault="008E0897">
            <w:pPr>
              <w:rPr>
                <w:rFonts w:eastAsia="Times New Roman"/>
                <w:sz w:val="22"/>
                <w:szCs w:val="22"/>
              </w:rPr>
            </w:pPr>
          </w:p>
        </w:tc>
        <w:tc>
          <w:tcPr>
            <w:tcW w:w="0" w:type="auto"/>
            <w:vAlign w:val="bottom"/>
            <w:hideMark/>
          </w:tcPr>
          <w:p w:rsidR="00000000" w:rsidRDefault="008E0897">
            <w:pPr>
              <w:pStyle w:val="doccommon1"/>
              <w:ind w:right="300"/>
              <w:jc w:val="right"/>
            </w:pPr>
            <w:hyperlink r:id="rId8" w:history="1">
              <w:r>
                <w:rPr>
                  <w:color w:val="0F4BA0"/>
                  <w:u w:val="single"/>
                </w:rPr>
                <w:t xml:space="preserve">Download </w:t>
              </w:r>
            </w:hyperlink>
          </w:p>
        </w:tc>
      </w:tr>
    </w:tbl>
    <w:p w:rsidR="00000000" w:rsidRDefault="008E0897">
      <w:pPr>
        <w:pStyle w:val="doccommon1"/>
        <w:shd w:val="clear" w:color="auto" w:fill="FFFFFF"/>
        <w:divId w:val="373576125"/>
      </w:pPr>
    </w:p>
    <w:tbl>
      <w:tblPr>
        <w:tblW w:w="4950" w:type="pct"/>
        <w:tblCellMar>
          <w:left w:w="0" w:type="dxa"/>
          <w:right w:w="0" w:type="dxa"/>
        </w:tblCellMar>
        <w:tblLook w:val="04A0" w:firstRow="1" w:lastRow="0" w:firstColumn="1" w:lastColumn="0" w:noHBand="0" w:noVBand="1"/>
      </w:tblPr>
      <w:tblGrid>
        <w:gridCol w:w="3090"/>
        <w:gridCol w:w="5871"/>
      </w:tblGrid>
      <w:tr w:rsidR="00000000">
        <w:trPr>
          <w:divId w:val="3735761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6948"/>
              <w:gridCol w:w="1755"/>
            </w:tblGrid>
            <w:tr w:rsidR="00000000">
              <w:trPr>
                <w:tblCellSpacing w:w="0" w:type="dxa"/>
              </w:trPr>
              <w:tc>
                <w:tcPr>
                  <w:tcW w:w="0" w:type="auto"/>
                  <w:vAlign w:val="center"/>
                  <w:hideMark/>
                </w:tcPr>
                <w:p w:rsidR="00000000" w:rsidRDefault="008E0897">
                  <w:pPr>
                    <w:rPr>
                      <w:rFonts w:eastAsia="Times New Roman"/>
                      <w:b/>
                      <w:bCs/>
                      <w:sz w:val="32"/>
                      <w:szCs w:val="32"/>
                    </w:rPr>
                  </w:pPr>
                  <w:bookmarkStart w:id="1" w:name="contact1633422758528"/>
                  <w:bookmarkStart w:id="2" w:name="contact"/>
                  <w:bookmarkEnd w:id="1"/>
                  <w:bookmarkEnd w:id="2"/>
                  <w:r>
                    <w:rPr>
                      <w:rFonts w:eastAsia="Times New Roman"/>
                      <w:b/>
                      <w:bCs/>
                      <w:sz w:val="32"/>
                      <w:szCs w:val="32"/>
                    </w:rPr>
                    <w:t>1. Contact</w:t>
                  </w:r>
                </w:p>
              </w:tc>
              <w:tc>
                <w:tcPr>
                  <w:tcW w:w="0" w:type="auto"/>
                  <w:vAlign w:val="center"/>
                  <w:hideMark/>
                </w:tcPr>
                <w:p w:rsidR="00000000" w:rsidRDefault="008E0897">
                  <w:pPr>
                    <w:jc w:val="right"/>
                    <w:rPr>
                      <w:rFonts w:eastAsia="Times New Roman"/>
                    </w:rPr>
                  </w:pPr>
                  <w:hyperlink w:history="1">
                    <w:r>
                      <w:rPr>
                        <w:rFonts w:eastAsia="Times New Roman"/>
                        <w:color w:val="0F4BA0"/>
                        <w:sz w:val="22"/>
                        <w:szCs w:val="22"/>
                        <w:u w:val="single"/>
                      </w:rPr>
                      <w:t>Top</w:t>
                    </w:r>
                  </w:hyperlink>
                </w:p>
              </w:tc>
            </w:tr>
          </w:tbl>
          <w:p w:rsidR="00000000" w:rsidRDefault="008E0897">
            <w:pPr>
              <w:rPr>
                <w:rFonts w:eastAsia="Times New Roman"/>
                <w:b/>
                <w:bCs/>
                <w:color w:val="000000"/>
                <w:sz w:val="32"/>
                <w:szCs w:val="32"/>
              </w:rPr>
            </w:pPr>
          </w:p>
        </w:tc>
      </w:tr>
      <w:tr w:rsidR="00000000">
        <w:trPr>
          <w:divId w:val="373576125"/>
          <w:trHeight w:val="300"/>
        </w:trPr>
        <w:tc>
          <w:tcPr>
            <w:tcW w:w="3090" w:type="dxa"/>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3" w:name="contact_organisation"/>
            <w:bookmarkEnd w:id="3"/>
            <w:r>
              <w:rPr>
                <w:rFonts w:eastAsia="Times New Roman"/>
                <w:b/>
                <w:bCs/>
                <w:sz w:val="22"/>
                <w:szCs w:val="22"/>
              </w:rPr>
              <w:t xml:space="preserve">1.1. Contact </w:t>
            </w:r>
            <w:proofErr w:type="spellStart"/>
            <w:r>
              <w:rPr>
                <w:rFonts w:eastAsia="Times New Roman"/>
                <w:b/>
                <w:bCs/>
                <w:sz w:val="22"/>
                <w:szCs w:val="22"/>
              </w:rPr>
              <w:t>organisation</w:t>
            </w:r>
            <w:proofErr w:type="spellEnd"/>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NIS (National Institute for Statistics) is resp</w:t>
            </w:r>
            <w:r>
              <w:rPr>
                <w:sz w:val="22"/>
                <w:szCs w:val="22"/>
              </w:rPr>
              <w:t>onsible for the data collection and dissemination.</w:t>
            </w: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4" w:name="organisation_unit"/>
            <w:bookmarkEnd w:id="4"/>
            <w:r>
              <w:rPr>
                <w:rFonts w:eastAsia="Times New Roman"/>
                <w:b/>
                <w:bCs/>
                <w:sz w:val="22"/>
                <w:szCs w:val="22"/>
              </w:rPr>
              <w:t xml:space="preserve">1.2. Contact </w:t>
            </w:r>
            <w:proofErr w:type="spellStart"/>
            <w:r>
              <w:rPr>
                <w:rFonts w:eastAsia="Times New Roman"/>
                <w:b/>
                <w:bCs/>
                <w:sz w:val="22"/>
                <w:szCs w:val="22"/>
              </w:rPr>
              <w:t>organisation</w:t>
            </w:r>
            <w:proofErr w:type="spellEnd"/>
            <w:r>
              <w:rPr>
                <w:rFonts w:eastAsia="Times New Roman"/>
                <w:b/>
                <w:bCs/>
                <w:sz w:val="22"/>
                <w:szCs w:val="22"/>
              </w:rPr>
              <w:t xml:space="preserve"> unit</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Price Statistics Division</w:t>
            </w: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5" w:name="contact_mail"/>
            <w:bookmarkEnd w:id="5"/>
            <w:r>
              <w:rPr>
                <w:rFonts w:eastAsia="Times New Roman"/>
                <w:b/>
                <w:bCs/>
                <w:sz w:val="22"/>
                <w:szCs w:val="22"/>
              </w:rPr>
              <w:t>1.5. Contact mail address</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proofErr w:type="spellStart"/>
            <w:r>
              <w:rPr>
                <w:sz w:val="22"/>
                <w:szCs w:val="22"/>
              </w:rPr>
              <w:t>Institutul</w:t>
            </w:r>
            <w:proofErr w:type="spellEnd"/>
            <w:r>
              <w:rPr>
                <w:sz w:val="22"/>
                <w:szCs w:val="22"/>
              </w:rPr>
              <w:t xml:space="preserve"> National de </w:t>
            </w:r>
            <w:proofErr w:type="spellStart"/>
            <w:r>
              <w:rPr>
                <w:sz w:val="22"/>
                <w:szCs w:val="22"/>
              </w:rPr>
              <w:t>Statistica</w:t>
            </w:r>
            <w:proofErr w:type="spellEnd"/>
            <w:r>
              <w:rPr>
                <w:sz w:val="22"/>
                <w:szCs w:val="22"/>
              </w:rPr>
              <w:t xml:space="preserve"> (NIS) - 16, </w:t>
            </w:r>
            <w:proofErr w:type="spellStart"/>
            <w:r>
              <w:rPr>
                <w:sz w:val="22"/>
                <w:szCs w:val="22"/>
              </w:rPr>
              <w:t>Libertatii</w:t>
            </w:r>
            <w:proofErr w:type="spellEnd"/>
            <w:r>
              <w:rPr>
                <w:sz w:val="22"/>
                <w:szCs w:val="22"/>
              </w:rPr>
              <w:t xml:space="preserve"> Avenue, district 5, Bucharest, RO-050706</w:t>
            </w:r>
          </w:p>
        </w:tc>
      </w:tr>
    </w:tbl>
    <w:p w:rsidR="00000000" w:rsidRDefault="008E0897">
      <w:pPr>
        <w:pStyle w:val="doccommon1"/>
        <w:shd w:val="clear" w:color="auto" w:fill="FFFFFF"/>
        <w:divId w:val="373576125"/>
      </w:pPr>
    </w:p>
    <w:tbl>
      <w:tblPr>
        <w:tblW w:w="4950" w:type="pct"/>
        <w:tblCellMar>
          <w:left w:w="0" w:type="dxa"/>
          <w:right w:w="0" w:type="dxa"/>
        </w:tblCellMar>
        <w:tblLook w:val="04A0" w:firstRow="1" w:lastRow="0" w:firstColumn="1" w:lastColumn="0" w:noHBand="0" w:noVBand="1"/>
      </w:tblPr>
      <w:tblGrid>
        <w:gridCol w:w="3090"/>
        <w:gridCol w:w="5871"/>
      </w:tblGrid>
      <w:tr w:rsidR="00000000">
        <w:trPr>
          <w:divId w:val="3735761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678"/>
              <w:gridCol w:w="1025"/>
            </w:tblGrid>
            <w:tr w:rsidR="00000000">
              <w:trPr>
                <w:tblCellSpacing w:w="0" w:type="dxa"/>
              </w:trPr>
              <w:tc>
                <w:tcPr>
                  <w:tcW w:w="0" w:type="auto"/>
                  <w:vAlign w:val="center"/>
                  <w:hideMark/>
                </w:tcPr>
                <w:p w:rsidR="00000000" w:rsidRDefault="008E0897">
                  <w:pPr>
                    <w:rPr>
                      <w:rFonts w:eastAsia="Times New Roman"/>
                      <w:b/>
                      <w:bCs/>
                      <w:sz w:val="32"/>
                      <w:szCs w:val="32"/>
                    </w:rPr>
                  </w:pPr>
                  <w:bookmarkStart w:id="6" w:name="meta_update1633422758528"/>
                  <w:bookmarkStart w:id="7" w:name="meta_update"/>
                  <w:bookmarkEnd w:id="6"/>
                  <w:bookmarkEnd w:id="7"/>
                  <w:r>
                    <w:rPr>
                      <w:rFonts w:eastAsia="Times New Roman"/>
                      <w:b/>
                      <w:bCs/>
                      <w:sz w:val="32"/>
                      <w:szCs w:val="32"/>
                    </w:rPr>
                    <w:t>2. Metadata update</w:t>
                  </w:r>
                </w:p>
              </w:tc>
              <w:tc>
                <w:tcPr>
                  <w:tcW w:w="0" w:type="auto"/>
                  <w:vAlign w:val="center"/>
                  <w:hideMark/>
                </w:tcPr>
                <w:p w:rsidR="00000000" w:rsidRDefault="008E0897">
                  <w:pPr>
                    <w:jc w:val="right"/>
                    <w:rPr>
                      <w:rFonts w:eastAsia="Times New Roman"/>
                    </w:rPr>
                  </w:pPr>
                  <w:hyperlink w:history="1">
                    <w:r>
                      <w:rPr>
                        <w:rFonts w:eastAsia="Times New Roman"/>
                        <w:color w:val="0F4BA0"/>
                        <w:sz w:val="22"/>
                        <w:szCs w:val="22"/>
                        <w:u w:val="single"/>
                      </w:rPr>
                      <w:t>Top</w:t>
                    </w:r>
                  </w:hyperlink>
                </w:p>
              </w:tc>
            </w:tr>
          </w:tbl>
          <w:p w:rsidR="00000000" w:rsidRDefault="008E0897">
            <w:pPr>
              <w:rPr>
                <w:rFonts w:eastAsia="Times New Roman"/>
                <w:b/>
                <w:bCs/>
                <w:color w:val="000000"/>
                <w:sz w:val="32"/>
                <w:szCs w:val="32"/>
              </w:rPr>
            </w:pPr>
          </w:p>
        </w:tc>
      </w:tr>
      <w:tr w:rsidR="00000000">
        <w:trPr>
          <w:divId w:val="373576125"/>
          <w:trHeight w:val="300"/>
        </w:trPr>
        <w:tc>
          <w:tcPr>
            <w:tcW w:w="3090" w:type="dxa"/>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8" w:name="meta_certified"/>
            <w:bookmarkEnd w:id="8"/>
            <w:r>
              <w:rPr>
                <w:rFonts w:eastAsia="Times New Roman"/>
                <w:b/>
                <w:bCs/>
                <w:sz w:val="22"/>
                <w:szCs w:val="22"/>
              </w:rPr>
              <w:t>2.1. Metadata last certified</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rPr>
                <w:rFonts w:eastAsia="Times New Roman"/>
                <w:sz w:val="22"/>
                <w:szCs w:val="22"/>
              </w:rPr>
            </w:pPr>
            <w:r>
              <w:rPr>
                <w:rFonts w:eastAsia="Times New Roman"/>
                <w:sz w:val="22"/>
                <w:szCs w:val="22"/>
              </w:rPr>
              <w:t>29/04/</w:t>
            </w:r>
            <w:r w:rsidR="008C5AD2">
              <w:rPr>
                <w:rFonts w:eastAsia="Times New Roman"/>
                <w:sz w:val="22"/>
                <w:szCs w:val="22"/>
              </w:rPr>
              <w:t>2021</w:t>
            </w:r>
            <w:bookmarkStart w:id="9" w:name="_GoBack"/>
            <w:bookmarkEnd w:id="9"/>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10" w:name="meta_posted"/>
            <w:bookmarkEnd w:id="10"/>
            <w:r>
              <w:rPr>
                <w:rFonts w:eastAsia="Times New Roman"/>
                <w:b/>
                <w:bCs/>
                <w:sz w:val="22"/>
                <w:szCs w:val="22"/>
              </w:rPr>
              <w:t>2.2. Metadata last posted</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rPr>
                <w:rFonts w:eastAsia="Times New Roman"/>
                <w:sz w:val="22"/>
                <w:szCs w:val="22"/>
              </w:rPr>
            </w:pPr>
            <w:r>
              <w:rPr>
                <w:rFonts w:eastAsia="Times New Roman"/>
                <w:sz w:val="22"/>
                <w:szCs w:val="22"/>
              </w:rPr>
              <w:t>29/04/2021</w:t>
            </w: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11" w:name="meta_last_update"/>
            <w:bookmarkEnd w:id="11"/>
            <w:r>
              <w:rPr>
                <w:rFonts w:eastAsia="Times New Roman"/>
                <w:b/>
                <w:bCs/>
                <w:sz w:val="22"/>
                <w:szCs w:val="22"/>
              </w:rPr>
              <w:lastRenderedPageBreak/>
              <w:t>2.3. Metadata last update</w:t>
            </w:r>
          </w:p>
        </w:tc>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rPr>
                <w:rFonts w:eastAsia="Times New Roman"/>
                <w:sz w:val="22"/>
                <w:szCs w:val="22"/>
              </w:rPr>
            </w:pPr>
            <w:r>
              <w:rPr>
                <w:rFonts w:eastAsia="Times New Roman"/>
                <w:sz w:val="22"/>
                <w:szCs w:val="22"/>
              </w:rPr>
              <w:t>29/04/2021</w:t>
            </w:r>
          </w:p>
        </w:tc>
      </w:tr>
    </w:tbl>
    <w:p w:rsidR="00000000" w:rsidRDefault="008E0897">
      <w:pPr>
        <w:pStyle w:val="doccommon1"/>
        <w:shd w:val="clear" w:color="auto" w:fill="FFFFFF"/>
        <w:divId w:val="373576125"/>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3735761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893"/>
              <w:gridCol w:w="810"/>
            </w:tblGrid>
            <w:tr w:rsidR="00000000">
              <w:trPr>
                <w:tblCellSpacing w:w="0" w:type="dxa"/>
              </w:trPr>
              <w:tc>
                <w:tcPr>
                  <w:tcW w:w="0" w:type="auto"/>
                  <w:vAlign w:val="center"/>
                  <w:hideMark/>
                </w:tcPr>
                <w:p w:rsidR="00000000" w:rsidRDefault="008E0897">
                  <w:pPr>
                    <w:rPr>
                      <w:rFonts w:eastAsia="Times New Roman"/>
                      <w:b/>
                      <w:bCs/>
                      <w:sz w:val="32"/>
                      <w:szCs w:val="32"/>
                    </w:rPr>
                  </w:pPr>
                  <w:bookmarkStart w:id="12" w:name="stat_pres1633422758528"/>
                  <w:bookmarkStart w:id="13" w:name="stat_pres"/>
                  <w:bookmarkEnd w:id="12"/>
                  <w:bookmarkEnd w:id="13"/>
                  <w:r>
                    <w:rPr>
                      <w:rFonts w:eastAsia="Times New Roman"/>
                      <w:b/>
                      <w:bCs/>
                      <w:sz w:val="32"/>
                      <w:szCs w:val="32"/>
                    </w:rPr>
                    <w:t>3. Statistical presentation</w:t>
                  </w:r>
                </w:p>
              </w:tc>
              <w:tc>
                <w:tcPr>
                  <w:tcW w:w="0" w:type="auto"/>
                  <w:vAlign w:val="center"/>
                  <w:hideMark/>
                </w:tcPr>
                <w:p w:rsidR="00000000" w:rsidRDefault="008E0897">
                  <w:pPr>
                    <w:jc w:val="right"/>
                    <w:rPr>
                      <w:rFonts w:eastAsia="Times New Roman"/>
                    </w:rPr>
                  </w:pPr>
                  <w:hyperlink w:history="1">
                    <w:r>
                      <w:rPr>
                        <w:rFonts w:eastAsia="Times New Roman"/>
                        <w:color w:val="0F4BA0"/>
                        <w:sz w:val="22"/>
                        <w:szCs w:val="22"/>
                        <w:u w:val="single"/>
                      </w:rPr>
                      <w:t>Top</w:t>
                    </w:r>
                  </w:hyperlink>
                </w:p>
              </w:tc>
            </w:tr>
          </w:tbl>
          <w:p w:rsidR="00000000" w:rsidRDefault="008E0897">
            <w:pPr>
              <w:rPr>
                <w:rFonts w:eastAsia="Times New Roman"/>
                <w:b/>
                <w:bCs/>
                <w:color w:val="000000"/>
                <w:sz w:val="32"/>
                <w:szCs w:val="32"/>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14" w:name="data_descr"/>
            <w:bookmarkEnd w:id="14"/>
            <w:r>
              <w:rPr>
                <w:rFonts w:eastAsia="Times New Roman"/>
                <w:b/>
                <w:bCs/>
                <w:sz w:val="22"/>
                <w:szCs w:val="22"/>
              </w:rPr>
              <w:t>3.1. Data description</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jc w:val="both"/>
              <w:rPr>
                <w:sz w:val="22"/>
                <w:szCs w:val="22"/>
              </w:rPr>
            </w:pPr>
            <w:r>
              <w:rPr>
                <w:sz w:val="22"/>
                <w:szCs w:val="22"/>
              </w:rPr>
              <w:t>Service Producer Price Index.</w:t>
            </w:r>
          </w:p>
          <w:p w:rsidR="00000000" w:rsidRDefault="008E0897">
            <w:pPr>
              <w:spacing w:before="30" w:after="30"/>
              <w:jc w:val="both"/>
              <w:rPr>
                <w:sz w:val="22"/>
                <w:szCs w:val="22"/>
              </w:rPr>
            </w:pPr>
            <w:r>
              <w:rPr>
                <w:sz w:val="22"/>
                <w:szCs w:val="22"/>
              </w:rPr>
              <w:t>Services producer price indices (SPPI) is defined as an output price index for the service production of domestic producers. The objective of SPPI is to measure the quarterly development of services prices.</w:t>
            </w:r>
          </w:p>
          <w:p w:rsidR="00000000" w:rsidRDefault="008E0897">
            <w:pPr>
              <w:spacing w:before="30" w:after="30"/>
              <w:jc w:val="both"/>
              <w:rPr>
                <w:sz w:val="22"/>
                <w:szCs w:val="22"/>
              </w:rPr>
            </w:pPr>
            <w:r>
              <w:rPr>
                <w:sz w:val="22"/>
                <w:szCs w:val="22"/>
              </w:rPr>
              <w:t xml:space="preserve">The current concepts and framework are those set </w:t>
            </w:r>
            <w:r>
              <w:rPr>
                <w:sz w:val="22"/>
                <w:szCs w:val="22"/>
              </w:rPr>
              <w:t xml:space="preserve">forth by the EU Regulation 1165/98, concerning short-term statistics amended by Regulation (EC) 1158/2005 that established data requirements in relation to coverage, periodicity, and timeliness, as well as the 2006 Eurostat manual </w:t>
            </w:r>
            <w:r>
              <w:rPr>
                <w:rStyle w:val="Emphasis"/>
                <w:sz w:val="22"/>
                <w:szCs w:val="22"/>
              </w:rPr>
              <w:t>Methodology of Short-term</w:t>
            </w:r>
            <w:r>
              <w:rPr>
                <w:rStyle w:val="Emphasis"/>
                <w:sz w:val="22"/>
                <w:szCs w:val="22"/>
              </w:rPr>
              <w:t xml:space="preserve"> Business Statistics (interpretations and guidelines)</w:t>
            </w:r>
            <w:r>
              <w:rPr>
                <w:sz w:val="22"/>
                <w:szCs w:val="22"/>
              </w:rPr>
              <w:t xml:space="preserve">. Romania follows recommendations Eurostat-OECD </w:t>
            </w:r>
            <w:r>
              <w:rPr>
                <w:rStyle w:val="Emphasis"/>
                <w:sz w:val="22"/>
                <w:szCs w:val="22"/>
              </w:rPr>
              <w:t>Methodological guide for developing producer price indices for services - Second edition 2014</w:t>
            </w:r>
            <w:r>
              <w:rPr>
                <w:sz w:val="22"/>
                <w:szCs w:val="22"/>
              </w:rPr>
              <w:t>.</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15" w:name="class_system"/>
            <w:bookmarkEnd w:id="15"/>
            <w:r>
              <w:rPr>
                <w:rFonts w:eastAsia="Times New Roman"/>
                <w:b/>
                <w:bCs/>
                <w:sz w:val="22"/>
                <w:szCs w:val="22"/>
              </w:rPr>
              <w:t>3.2. Classification system</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NACE Rev. 2.</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16" w:name="coverage_sector"/>
            <w:bookmarkEnd w:id="16"/>
            <w:r>
              <w:rPr>
                <w:rFonts w:eastAsia="Times New Roman"/>
                <w:b/>
                <w:bCs/>
                <w:sz w:val="22"/>
                <w:szCs w:val="22"/>
              </w:rPr>
              <w:t>3.3. Coverage - sector</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NACE Rev. 2 activities: 49.4, 50.1, 50.2, 51, 52.1, 52.24, 53.1, 53.2, 61, 62, 63.1, 63.9, 69.1, 69.2, 70.2, 71, 73, 78, 80, 81.2.</w:t>
            </w:r>
          </w:p>
          <w:p w:rsidR="00000000" w:rsidRDefault="008E0897">
            <w:pPr>
              <w:spacing w:before="30" w:after="30"/>
              <w:rPr>
                <w:sz w:val="22"/>
                <w:szCs w:val="22"/>
              </w:rPr>
            </w:pPr>
            <w:r>
              <w:rPr>
                <w:sz w:val="22"/>
                <w:szCs w:val="22"/>
              </w:rPr>
              <w:t>The sample represents at least 50% of the overall turnover of the NACE Rev. 2 classes.</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17" w:name="stat_conc_def"/>
            <w:bookmarkEnd w:id="17"/>
            <w:r>
              <w:rPr>
                <w:rFonts w:eastAsia="Times New Roman"/>
                <w:b/>
                <w:bCs/>
                <w:sz w:val="22"/>
                <w:szCs w:val="22"/>
              </w:rPr>
              <w:t>3.4. Statis</w:t>
            </w:r>
            <w:r>
              <w:rPr>
                <w:rFonts w:eastAsia="Times New Roman"/>
                <w:b/>
                <w:bCs/>
                <w:sz w:val="22"/>
                <w:szCs w:val="22"/>
              </w:rPr>
              <w:t>tical concepts and definitions</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jc w:val="both"/>
              <w:rPr>
                <w:sz w:val="22"/>
                <w:szCs w:val="22"/>
              </w:rPr>
            </w:pPr>
            <w:r>
              <w:rPr>
                <w:sz w:val="22"/>
                <w:szCs w:val="22"/>
              </w:rPr>
              <w:t>Services producer price indices (SPPI) is defined as an output price index for the service production of domestic producers. The objective of SPPI is to measure the quarterly development of services prices.</w:t>
            </w:r>
          </w:p>
          <w:p w:rsidR="00000000" w:rsidRDefault="008E0897">
            <w:pPr>
              <w:spacing w:before="30" w:after="30"/>
              <w:jc w:val="both"/>
              <w:rPr>
                <w:sz w:val="22"/>
                <w:szCs w:val="22"/>
              </w:rPr>
            </w:pPr>
            <w:r>
              <w:rPr>
                <w:sz w:val="22"/>
                <w:szCs w:val="22"/>
              </w:rPr>
              <w:t xml:space="preserve">The SPPIs are </w:t>
            </w:r>
            <w:proofErr w:type="gramStart"/>
            <w:r>
              <w:rPr>
                <w:sz w:val="22"/>
                <w:szCs w:val="22"/>
              </w:rPr>
              <w:t>ta</w:t>
            </w:r>
            <w:r>
              <w:rPr>
                <w:sz w:val="22"/>
                <w:szCs w:val="22"/>
              </w:rPr>
              <w:t>ken into account</w:t>
            </w:r>
            <w:proofErr w:type="gramEnd"/>
            <w:r>
              <w:rPr>
                <w:sz w:val="22"/>
                <w:szCs w:val="22"/>
              </w:rPr>
              <w:t xml:space="preserve"> any applicable discounts, rebates, surcharges, etc. that may apply to the customers.</w:t>
            </w:r>
          </w:p>
          <w:p w:rsidR="00000000" w:rsidRDefault="008E0897">
            <w:pPr>
              <w:spacing w:before="30" w:after="30"/>
              <w:rPr>
                <w:sz w:val="22"/>
                <w:szCs w:val="22"/>
              </w:rPr>
            </w:pPr>
            <w:r>
              <w:rPr>
                <w:sz w:val="22"/>
                <w:szCs w:val="22"/>
              </w:rPr>
              <w:t>Because the price reflects revenue received by the producer, taxes on products is excluded from prices whereas subsidies on products received by the produ</w:t>
            </w:r>
            <w:r>
              <w:rPr>
                <w:sz w:val="22"/>
                <w:szCs w:val="22"/>
              </w:rPr>
              <w:t>cer, if there are any, is added.</w:t>
            </w:r>
          </w:p>
          <w:p w:rsidR="00000000" w:rsidRDefault="008E0897">
            <w:pPr>
              <w:spacing w:before="30" w:after="30"/>
              <w:rPr>
                <w:sz w:val="22"/>
                <w:szCs w:val="22"/>
              </w:rPr>
            </w:pPr>
            <w:r>
              <w:rPr>
                <w:sz w:val="22"/>
                <w:szCs w:val="22"/>
              </w:rPr>
              <w:t>Data are collected quarterly; the reference period is the average tariffs registered within the reference quarter.</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18" w:name="stat_unit"/>
            <w:bookmarkEnd w:id="18"/>
            <w:r>
              <w:rPr>
                <w:rFonts w:eastAsia="Times New Roman"/>
                <w:b/>
                <w:bCs/>
                <w:sz w:val="22"/>
                <w:szCs w:val="22"/>
              </w:rPr>
              <w:t>3.5. Statistical unit</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Enterprise.</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19" w:name="stat_pop"/>
            <w:bookmarkEnd w:id="19"/>
            <w:r>
              <w:rPr>
                <w:rFonts w:eastAsia="Times New Roman"/>
                <w:b/>
                <w:bCs/>
                <w:sz w:val="22"/>
                <w:szCs w:val="22"/>
              </w:rPr>
              <w:t>3.6. Statistical population</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jc w:val="both"/>
              <w:rPr>
                <w:sz w:val="22"/>
                <w:szCs w:val="22"/>
              </w:rPr>
            </w:pPr>
            <w:r>
              <w:rPr>
                <w:sz w:val="22"/>
                <w:szCs w:val="22"/>
              </w:rPr>
              <w:t xml:space="preserve">The main data source for building up the sample of economic operators is represented by the Annual Statistical (Structural) </w:t>
            </w:r>
            <w:proofErr w:type="spellStart"/>
            <w:r>
              <w:rPr>
                <w:sz w:val="22"/>
                <w:szCs w:val="22"/>
              </w:rPr>
              <w:t>Bussiness</w:t>
            </w:r>
            <w:proofErr w:type="spellEnd"/>
            <w:r>
              <w:rPr>
                <w:sz w:val="22"/>
                <w:szCs w:val="22"/>
              </w:rPr>
              <w:t xml:space="preserve"> Survey from reference year 2015. Based on the data from this statistical survey, the economic operators are ordered in a d</w:t>
            </w:r>
            <w:r>
              <w:rPr>
                <w:sz w:val="22"/>
                <w:szCs w:val="22"/>
              </w:rPr>
              <w:t>escending manner by turnover in each NACE Rev.2 activity class. The economic operators whose turnover represents at least 50% of the total NACE Rev.2 class are kept in the sample.</w:t>
            </w:r>
          </w:p>
          <w:p w:rsidR="00000000" w:rsidRDefault="008E0897">
            <w:pPr>
              <w:spacing w:before="30" w:after="30"/>
              <w:jc w:val="both"/>
              <w:rPr>
                <w:sz w:val="22"/>
                <w:szCs w:val="22"/>
              </w:rPr>
            </w:pPr>
            <w:r>
              <w:rPr>
                <w:sz w:val="22"/>
                <w:szCs w:val="22"/>
              </w:rPr>
              <w:t>There are around the 550 enterprises which are surveyed each quarter.</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20" w:name="ref_area"/>
            <w:bookmarkEnd w:id="20"/>
            <w:r>
              <w:rPr>
                <w:rFonts w:eastAsia="Times New Roman"/>
                <w:b/>
                <w:bCs/>
                <w:sz w:val="22"/>
                <w:szCs w:val="22"/>
              </w:rPr>
              <w:t>3.7.</w:t>
            </w:r>
            <w:r>
              <w:rPr>
                <w:rFonts w:eastAsia="Times New Roman"/>
                <w:b/>
                <w:bCs/>
                <w:sz w:val="22"/>
                <w:szCs w:val="22"/>
              </w:rPr>
              <w:t xml:space="preserve"> Reference area</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The SPPI’s cover the entire economic territory of the country.</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21" w:name="coverage_time"/>
            <w:bookmarkEnd w:id="21"/>
            <w:r>
              <w:rPr>
                <w:rFonts w:eastAsia="Times New Roman"/>
                <w:b/>
                <w:bCs/>
                <w:sz w:val="22"/>
                <w:szCs w:val="22"/>
              </w:rPr>
              <w:t>3.8. Coverage - Time</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2010</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22" w:name="base_per"/>
            <w:bookmarkEnd w:id="22"/>
            <w:r>
              <w:rPr>
                <w:rFonts w:eastAsia="Times New Roman"/>
                <w:b/>
                <w:bCs/>
                <w:sz w:val="22"/>
                <w:szCs w:val="22"/>
              </w:rPr>
              <w:t>3.9. Base period</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Year 2015 = 100.</w:t>
            </w:r>
          </w:p>
        </w:tc>
        <w:tc>
          <w:tcPr>
            <w:tcW w:w="0" w:type="auto"/>
            <w:vAlign w:val="center"/>
            <w:hideMark/>
          </w:tcPr>
          <w:p w:rsidR="00000000" w:rsidRDefault="008E0897">
            <w:pPr>
              <w:rPr>
                <w:rFonts w:eastAsia="Times New Roman"/>
                <w:sz w:val="20"/>
                <w:szCs w:val="20"/>
              </w:rPr>
            </w:pPr>
          </w:p>
        </w:tc>
      </w:tr>
    </w:tbl>
    <w:p w:rsidR="00000000" w:rsidRDefault="008E0897">
      <w:pPr>
        <w:pStyle w:val="doccommon1"/>
        <w:shd w:val="clear" w:color="auto" w:fill="FFFFFF"/>
        <w:divId w:val="373576125"/>
      </w:pPr>
    </w:p>
    <w:tbl>
      <w:tblPr>
        <w:tblW w:w="4950" w:type="pct"/>
        <w:tblCellMar>
          <w:left w:w="0" w:type="dxa"/>
          <w:right w:w="0" w:type="dxa"/>
        </w:tblCellMar>
        <w:tblLook w:val="04A0" w:firstRow="1" w:lastRow="0" w:firstColumn="1" w:lastColumn="0" w:noHBand="0" w:noVBand="1"/>
      </w:tblPr>
      <w:tblGrid>
        <w:gridCol w:w="8915"/>
        <w:gridCol w:w="46"/>
      </w:tblGrid>
      <w:tr w:rsidR="00000000">
        <w:trPr>
          <w:divId w:val="3735761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623"/>
              <w:gridCol w:w="1080"/>
            </w:tblGrid>
            <w:tr w:rsidR="00000000">
              <w:trPr>
                <w:tblCellSpacing w:w="0" w:type="dxa"/>
              </w:trPr>
              <w:tc>
                <w:tcPr>
                  <w:tcW w:w="0" w:type="auto"/>
                  <w:vAlign w:val="center"/>
                  <w:hideMark/>
                </w:tcPr>
                <w:p w:rsidR="00000000" w:rsidRDefault="008E0897">
                  <w:pPr>
                    <w:rPr>
                      <w:rFonts w:eastAsia="Times New Roman"/>
                      <w:b/>
                      <w:bCs/>
                      <w:sz w:val="32"/>
                      <w:szCs w:val="32"/>
                    </w:rPr>
                  </w:pPr>
                  <w:bookmarkStart w:id="23" w:name="unit_measure1633422758528"/>
                  <w:bookmarkStart w:id="24" w:name="unit_measure"/>
                  <w:bookmarkEnd w:id="23"/>
                  <w:bookmarkEnd w:id="24"/>
                  <w:r>
                    <w:rPr>
                      <w:rFonts w:eastAsia="Times New Roman"/>
                      <w:b/>
                      <w:bCs/>
                      <w:sz w:val="32"/>
                      <w:szCs w:val="32"/>
                    </w:rPr>
                    <w:lastRenderedPageBreak/>
                    <w:t>4. Unit of measure</w:t>
                  </w:r>
                </w:p>
              </w:tc>
              <w:tc>
                <w:tcPr>
                  <w:tcW w:w="0" w:type="auto"/>
                  <w:vAlign w:val="center"/>
                  <w:hideMark/>
                </w:tcPr>
                <w:p w:rsidR="00000000" w:rsidRDefault="008E0897">
                  <w:pPr>
                    <w:jc w:val="right"/>
                    <w:rPr>
                      <w:rFonts w:eastAsia="Times New Roman"/>
                    </w:rPr>
                  </w:pPr>
                  <w:hyperlink w:history="1">
                    <w:r>
                      <w:rPr>
                        <w:rFonts w:eastAsia="Times New Roman"/>
                        <w:color w:val="0F4BA0"/>
                        <w:sz w:val="22"/>
                        <w:szCs w:val="22"/>
                        <w:u w:val="single"/>
                      </w:rPr>
                      <w:t>Top</w:t>
                    </w:r>
                  </w:hyperlink>
                </w:p>
              </w:tc>
            </w:tr>
          </w:tbl>
          <w:p w:rsidR="00000000" w:rsidRDefault="008E0897">
            <w:pPr>
              <w:rPr>
                <w:rFonts w:eastAsia="Times New Roman"/>
                <w:b/>
                <w:bCs/>
                <w:color w:val="000000"/>
                <w:sz w:val="32"/>
                <w:szCs w:val="32"/>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indices, percentage changes (%)</w:t>
            </w:r>
          </w:p>
        </w:tc>
        <w:tc>
          <w:tcPr>
            <w:tcW w:w="0" w:type="auto"/>
            <w:vAlign w:val="center"/>
            <w:hideMark/>
          </w:tcPr>
          <w:p w:rsidR="00000000" w:rsidRDefault="008E0897">
            <w:pPr>
              <w:rPr>
                <w:rFonts w:eastAsia="Times New Roman"/>
                <w:sz w:val="20"/>
                <w:szCs w:val="20"/>
              </w:rPr>
            </w:pPr>
          </w:p>
        </w:tc>
      </w:tr>
    </w:tbl>
    <w:p w:rsidR="00000000" w:rsidRDefault="008E0897">
      <w:pPr>
        <w:pStyle w:val="doccommon1"/>
        <w:shd w:val="clear" w:color="auto" w:fill="FFFFFF"/>
        <w:divId w:val="373576125"/>
      </w:pPr>
    </w:p>
    <w:tbl>
      <w:tblPr>
        <w:tblW w:w="4950" w:type="pct"/>
        <w:tblCellMar>
          <w:left w:w="0" w:type="dxa"/>
          <w:right w:w="0" w:type="dxa"/>
        </w:tblCellMar>
        <w:tblLook w:val="04A0" w:firstRow="1" w:lastRow="0" w:firstColumn="1" w:lastColumn="0" w:noHBand="0" w:noVBand="1"/>
      </w:tblPr>
      <w:tblGrid>
        <w:gridCol w:w="8836"/>
        <w:gridCol w:w="125"/>
      </w:tblGrid>
      <w:tr w:rsidR="00000000">
        <w:trPr>
          <w:divId w:val="3735761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683"/>
              <w:gridCol w:w="1020"/>
            </w:tblGrid>
            <w:tr w:rsidR="00000000">
              <w:trPr>
                <w:tblCellSpacing w:w="0" w:type="dxa"/>
              </w:trPr>
              <w:tc>
                <w:tcPr>
                  <w:tcW w:w="0" w:type="auto"/>
                  <w:vAlign w:val="center"/>
                  <w:hideMark/>
                </w:tcPr>
                <w:p w:rsidR="00000000" w:rsidRDefault="008E0897">
                  <w:pPr>
                    <w:rPr>
                      <w:rFonts w:eastAsia="Times New Roman"/>
                      <w:b/>
                      <w:bCs/>
                      <w:sz w:val="32"/>
                      <w:szCs w:val="32"/>
                    </w:rPr>
                  </w:pPr>
                  <w:bookmarkStart w:id="25" w:name="ref_period1633422758528"/>
                  <w:bookmarkStart w:id="26" w:name="ref_period"/>
                  <w:bookmarkEnd w:id="25"/>
                  <w:bookmarkEnd w:id="26"/>
                  <w:r>
                    <w:rPr>
                      <w:rFonts w:eastAsia="Times New Roman"/>
                      <w:b/>
                      <w:bCs/>
                      <w:sz w:val="32"/>
                      <w:szCs w:val="32"/>
                    </w:rPr>
                    <w:t>5. Reference Period</w:t>
                  </w:r>
                </w:p>
              </w:tc>
              <w:tc>
                <w:tcPr>
                  <w:tcW w:w="0" w:type="auto"/>
                  <w:vAlign w:val="center"/>
                  <w:hideMark/>
                </w:tcPr>
                <w:p w:rsidR="00000000" w:rsidRDefault="008E0897">
                  <w:pPr>
                    <w:jc w:val="right"/>
                    <w:rPr>
                      <w:rFonts w:eastAsia="Times New Roman"/>
                    </w:rPr>
                  </w:pPr>
                  <w:hyperlink w:history="1">
                    <w:r>
                      <w:rPr>
                        <w:rFonts w:eastAsia="Times New Roman"/>
                        <w:color w:val="0F4BA0"/>
                        <w:sz w:val="22"/>
                        <w:szCs w:val="22"/>
                        <w:u w:val="single"/>
                      </w:rPr>
                      <w:t>Top</w:t>
                    </w:r>
                  </w:hyperlink>
                </w:p>
              </w:tc>
            </w:tr>
          </w:tbl>
          <w:p w:rsidR="00000000" w:rsidRDefault="008E0897">
            <w:pPr>
              <w:rPr>
                <w:rFonts w:eastAsia="Times New Roman"/>
                <w:b/>
                <w:bCs/>
                <w:color w:val="000000"/>
                <w:sz w:val="32"/>
                <w:szCs w:val="32"/>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Quarterly</w:t>
            </w:r>
          </w:p>
        </w:tc>
        <w:tc>
          <w:tcPr>
            <w:tcW w:w="0" w:type="auto"/>
            <w:vAlign w:val="center"/>
            <w:hideMark/>
          </w:tcPr>
          <w:p w:rsidR="00000000" w:rsidRDefault="008E0897">
            <w:pPr>
              <w:rPr>
                <w:rFonts w:eastAsia="Times New Roman"/>
                <w:sz w:val="20"/>
                <w:szCs w:val="20"/>
              </w:rPr>
            </w:pPr>
          </w:p>
        </w:tc>
      </w:tr>
    </w:tbl>
    <w:p w:rsidR="00000000" w:rsidRDefault="008E0897">
      <w:pPr>
        <w:pStyle w:val="doccommon1"/>
        <w:shd w:val="clear" w:color="auto" w:fill="FFFFFF"/>
        <w:divId w:val="373576125"/>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3735761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861"/>
              <w:gridCol w:w="842"/>
            </w:tblGrid>
            <w:tr w:rsidR="00000000">
              <w:trPr>
                <w:tblCellSpacing w:w="0" w:type="dxa"/>
              </w:trPr>
              <w:tc>
                <w:tcPr>
                  <w:tcW w:w="0" w:type="auto"/>
                  <w:vAlign w:val="center"/>
                  <w:hideMark/>
                </w:tcPr>
                <w:p w:rsidR="00000000" w:rsidRDefault="008E0897">
                  <w:pPr>
                    <w:rPr>
                      <w:rFonts w:eastAsia="Times New Roman"/>
                      <w:b/>
                      <w:bCs/>
                      <w:sz w:val="32"/>
                      <w:szCs w:val="32"/>
                    </w:rPr>
                  </w:pPr>
                  <w:bookmarkStart w:id="27" w:name="inst_mandate1633422758528"/>
                  <w:bookmarkStart w:id="28" w:name="inst_mandate"/>
                  <w:bookmarkEnd w:id="27"/>
                  <w:bookmarkEnd w:id="28"/>
                  <w:r>
                    <w:rPr>
                      <w:rFonts w:eastAsia="Times New Roman"/>
                      <w:b/>
                      <w:bCs/>
                      <w:sz w:val="32"/>
                      <w:szCs w:val="32"/>
                    </w:rPr>
                    <w:t>6. Institutional Mandate</w:t>
                  </w:r>
                </w:p>
              </w:tc>
              <w:tc>
                <w:tcPr>
                  <w:tcW w:w="0" w:type="auto"/>
                  <w:vAlign w:val="center"/>
                  <w:hideMark/>
                </w:tcPr>
                <w:p w:rsidR="00000000" w:rsidRDefault="008E0897">
                  <w:pPr>
                    <w:jc w:val="right"/>
                    <w:rPr>
                      <w:rFonts w:eastAsia="Times New Roman"/>
                    </w:rPr>
                  </w:pPr>
                  <w:hyperlink w:history="1">
                    <w:r>
                      <w:rPr>
                        <w:rFonts w:eastAsia="Times New Roman"/>
                        <w:color w:val="0F4BA0"/>
                        <w:sz w:val="22"/>
                        <w:szCs w:val="22"/>
                        <w:u w:val="single"/>
                      </w:rPr>
                      <w:t>Top</w:t>
                    </w:r>
                  </w:hyperlink>
                </w:p>
              </w:tc>
            </w:tr>
          </w:tbl>
          <w:p w:rsidR="00000000" w:rsidRDefault="008E0897">
            <w:pPr>
              <w:rPr>
                <w:rFonts w:eastAsia="Times New Roman"/>
                <w:b/>
                <w:bCs/>
                <w:color w:val="000000"/>
                <w:sz w:val="32"/>
                <w:szCs w:val="32"/>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29" w:name="inst_man_la_oa"/>
            <w:bookmarkEnd w:id="29"/>
            <w:r>
              <w:rPr>
                <w:rFonts w:eastAsia="Times New Roman"/>
                <w:b/>
                <w:bCs/>
                <w:sz w:val="22"/>
                <w:szCs w:val="22"/>
              </w:rPr>
              <w:t>6.1. Institutional Mandate - legal acts and other agreements</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 xml:space="preserve">The legal basis for the STS indicators is the </w:t>
            </w:r>
            <w:hyperlink r:id="rId9" w:history="1">
              <w:r>
                <w:rPr>
                  <w:rStyle w:val="Strong"/>
                  <w:color w:val="0F4BA0"/>
                  <w:sz w:val="22"/>
                  <w:szCs w:val="22"/>
                  <w:u w:val="single"/>
                </w:rPr>
                <w:t>Council Regulation No 1165/98 of 19 May 1998 concerning short-term statistics</w:t>
              </w:r>
            </w:hyperlink>
            <w:r>
              <w:rPr>
                <w:sz w:val="22"/>
                <w:szCs w:val="22"/>
              </w:rPr>
              <w:t xml:space="preserve">, amended by the </w:t>
            </w:r>
            <w:hyperlink r:id="rId10" w:history="1">
              <w:r>
                <w:rPr>
                  <w:color w:val="0F4BA0"/>
                  <w:sz w:val="22"/>
                  <w:szCs w:val="22"/>
                  <w:u w:val="single"/>
                </w:rPr>
                <w:t>Regulation No 1158/2005 of 6 July 2005</w:t>
              </w:r>
            </w:hyperlink>
            <w:r>
              <w:rPr>
                <w:sz w:val="22"/>
                <w:szCs w:val="22"/>
              </w:rPr>
              <w:t xml:space="preserve"> concerning short-term statistics and by the </w:t>
            </w:r>
            <w:hyperlink r:id="rId11" w:history="1">
              <w:r>
                <w:rPr>
                  <w:color w:val="0F4BA0"/>
                  <w:sz w:val="22"/>
                  <w:szCs w:val="22"/>
                  <w:u w:val="single"/>
                </w:rPr>
                <w:t>Regulation (EC) No 1893/2006 of 20 December 2006</w:t>
              </w:r>
            </w:hyperlink>
            <w:r>
              <w:rPr>
                <w:sz w:val="22"/>
                <w:szCs w:val="22"/>
              </w:rPr>
              <w:t xml:space="preserve"> esta</w:t>
            </w:r>
            <w:r>
              <w:rPr>
                <w:sz w:val="22"/>
                <w:szCs w:val="22"/>
              </w:rPr>
              <w:t>blishing the statistical classification of economic activities NACE Revision 2, herein referred as STS-Regulations or STS-R.</w:t>
            </w:r>
          </w:p>
          <w:p w:rsidR="00000000" w:rsidRDefault="008E0897">
            <w:pPr>
              <w:spacing w:before="30" w:after="30"/>
              <w:jc w:val="both"/>
              <w:rPr>
                <w:sz w:val="22"/>
                <w:szCs w:val="22"/>
              </w:rPr>
            </w:pPr>
            <w:r>
              <w:rPr>
                <w:sz w:val="22"/>
                <w:szCs w:val="22"/>
              </w:rPr>
              <w:t xml:space="preserve">All statistics collected and published by NIS are governed by the statistical Law no. 226/2009 regarding the </w:t>
            </w:r>
            <w:proofErr w:type="spellStart"/>
            <w:r>
              <w:rPr>
                <w:sz w:val="22"/>
                <w:szCs w:val="22"/>
              </w:rPr>
              <w:t>organisation</w:t>
            </w:r>
            <w:proofErr w:type="spellEnd"/>
            <w:r>
              <w:rPr>
                <w:sz w:val="22"/>
                <w:szCs w:val="22"/>
              </w:rPr>
              <w:t xml:space="preserve"> of offici</w:t>
            </w:r>
            <w:r>
              <w:rPr>
                <w:sz w:val="22"/>
                <w:szCs w:val="22"/>
              </w:rPr>
              <w:t>al statistics, published in Romania's Official Journal First part, no. 397/11.06.2009, with further amendments.</w:t>
            </w:r>
          </w:p>
          <w:p w:rsidR="00000000" w:rsidRDefault="008E0897">
            <w:pPr>
              <w:spacing w:before="30" w:after="30"/>
              <w:jc w:val="both"/>
              <w:rPr>
                <w:sz w:val="22"/>
                <w:szCs w:val="22"/>
              </w:rPr>
            </w:pPr>
            <w:r>
              <w:rPr>
                <w:sz w:val="22"/>
                <w:szCs w:val="22"/>
              </w:rPr>
              <w:t>The National Law stipulates that all individuals and legal units are required to submit data to the NIS on request.</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30" w:name="inst_man_shar"/>
            <w:bookmarkEnd w:id="30"/>
            <w:r>
              <w:rPr>
                <w:rFonts w:eastAsia="Times New Roman"/>
                <w:b/>
                <w:bCs/>
                <w:sz w:val="22"/>
                <w:szCs w:val="22"/>
              </w:rPr>
              <w:t>6.2. Institutional Mandate</w:t>
            </w:r>
            <w:r>
              <w:rPr>
                <w:rFonts w:eastAsia="Times New Roman"/>
                <w:b/>
                <w:bCs/>
                <w:sz w:val="22"/>
                <w:szCs w:val="22"/>
              </w:rPr>
              <w:t xml:space="preserve"> - data sharing</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Not applicable</w:t>
            </w:r>
          </w:p>
        </w:tc>
        <w:tc>
          <w:tcPr>
            <w:tcW w:w="0" w:type="auto"/>
            <w:vAlign w:val="center"/>
            <w:hideMark/>
          </w:tcPr>
          <w:p w:rsidR="00000000" w:rsidRDefault="008E0897">
            <w:pPr>
              <w:rPr>
                <w:rFonts w:eastAsia="Times New Roman"/>
                <w:sz w:val="20"/>
                <w:szCs w:val="20"/>
              </w:rPr>
            </w:pPr>
          </w:p>
        </w:tc>
      </w:tr>
    </w:tbl>
    <w:p w:rsidR="00000000" w:rsidRDefault="008E0897">
      <w:pPr>
        <w:pStyle w:val="doccommon1"/>
        <w:shd w:val="clear" w:color="auto" w:fill="FFFFFF"/>
        <w:divId w:val="373576125"/>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3735761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575"/>
              <w:gridCol w:w="1128"/>
            </w:tblGrid>
            <w:tr w:rsidR="00000000">
              <w:trPr>
                <w:tblCellSpacing w:w="0" w:type="dxa"/>
              </w:trPr>
              <w:tc>
                <w:tcPr>
                  <w:tcW w:w="0" w:type="auto"/>
                  <w:vAlign w:val="center"/>
                  <w:hideMark/>
                </w:tcPr>
                <w:p w:rsidR="00000000" w:rsidRDefault="008E0897">
                  <w:pPr>
                    <w:rPr>
                      <w:rFonts w:eastAsia="Times New Roman"/>
                      <w:b/>
                      <w:bCs/>
                      <w:sz w:val="32"/>
                      <w:szCs w:val="32"/>
                    </w:rPr>
                  </w:pPr>
                  <w:bookmarkStart w:id="31" w:name="conf1633422758528"/>
                  <w:bookmarkStart w:id="32" w:name="conf"/>
                  <w:bookmarkEnd w:id="31"/>
                  <w:bookmarkEnd w:id="32"/>
                  <w:r>
                    <w:rPr>
                      <w:rFonts w:eastAsia="Times New Roman"/>
                      <w:b/>
                      <w:bCs/>
                      <w:sz w:val="32"/>
                      <w:szCs w:val="32"/>
                    </w:rPr>
                    <w:t>7. Confidentiality</w:t>
                  </w:r>
                </w:p>
              </w:tc>
              <w:tc>
                <w:tcPr>
                  <w:tcW w:w="0" w:type="auto"/>
                  <w:vAlign w:val="center"/>
                  <w:hideMark/>
                </w:tcPr>
                <w:p w:rsidR="00000000" w:rsidRDefault="008E0897">
                  <w:pPr>
                    <w:jc w:val="right"/>
                    <w:rPr>
                      <w:rFonts w:eastAsia="Times New Roman"/>
                    </w:rPr>
                  </w:pPr>
                  <w:hyperlink w:history="1">
                    <w:r>
                      <w:rPr>
                        <w:rFonts w:eastAsia="Times New Roman"/>
                        <w:color w:val="0F4BA0"/>
                        <w:sz w:val="22"/>
                        <w:szCs w:val="22"/>
                        <w:u w:val="single"/>
                      </w:rPr>
                      <w:t>Top</w:t>
                    </w:r>
                  </w:hyperlink>
                </w:p>
              </w:tc>
            </w:tr>
          </w:tbl>
          <w:p w:rsidR="00000000" w:rsidRDefault="008E0897">
            <w:pPr>
              <w:rPr>
                <w:rFonts w:eastAsia="Times New Roman"/>
                <w:b/>
                <w:bCs/>
                <w:color w:val="000000"/>
                <w:sz w:val="32"/>
                <w:szCs w:val="32"/>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33" w:name="conf_policy"/>
            <w:bookmarkEnd w:id="33"/>
            <w:r>
              <w:rPr>
                <w:rFonts w:eastAsia="Times New Roman"/>
                <w:b/>
                <w:bCs/>
                <w:sz w:val="22"/>
                <w:szCs w:val="22"/>
              </w:rPr>
              <w:t>7.1. Confidentiality - policy</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 xml:space="preserve">All statistics collected and published by NIS are governed by the statistical Law no. 226/2009 regarding the </w:t>
            </w:r>
            <w:proofErr w:type="spellStart"/>
            <w:r>
              <w:rPr>
                <w:sz w:val="22"/>
                <w:szCs w:val="22"/>
              </w:rPr>
              <w:t>organisation</w:t>
            </w:r>
            <w:proofErr w:type="spellEnd"/>
            <w:r>
              <w:rPr>
                <w:sz w:val="22"/>
                <w:szCs w:val="22"/>
              </w:rPr>
              <w:t xml:space="preserve"> of official statistics, published in Romania's Official Journal First part, no. 397/11.06.2009, with further </w:t>
            </w:r>
            <w:proofErr w:type="spellStart"/>
            <w:r>
              <w:rPr>
                <w:sz w:val="22"/>
                <w:szCs w:val="22"/>
              </w:rPr>
              <w:t>amendaments</w:t>
            </w:r>
            <w:proofErr w:type="spellEnd"/>
            <w:r>
              <w:rPr>
                <w:sz w:val="22"/>
                <w:szCs w:val="22"/>
              </w:rPr>
              <w:t>.</w:t>
            </w:r>
          </w:p>
          <w:p w:rsidR="00000000" w:rsidRDefault="008E0897">
            <w:pPr>
              <w:spacing w:before="30" w:after="30"/>
              <w:rPr>
                <w:sz w:val="22"/>
                <w:szCs w:val="22"/>
              </w:rPr>
            </w:pPr>
            <w:r>
              <w:rPr>
                <w:sz w:val="22"/>
                <w:szCs w:val="22"/>
              </w:rPr>
              <w:t>The Law spec</w:t>
            </w:r>
            <w:r>
              <w:rPr>
                <w:sz w:val="22"/>
                <w:szCs w:val="22"/>
              </w:rPr>
              <w:t>ifies that: the official statistical services are authorized to ask for and receive free of charge statistical data and information from all natural and legal persons who are located, hold any kind of capital or carry out any type of activity on the Romani</w:t>
            </w:r>
            <w:r>
              <w:rPr>
                <w:sz w:val="22"/>
                <w:szCs w:val="22"/>
              </w:rPr>
              <w:t>an territory.</w:t>
            </w:r>
            <w:r>
              <w:rPr>
                <w:sz w:val="22"/>
                <w:szCs w:val="22"/>
              </w:rPr>
              <w:br/>
              <w:t>Also under the provision of this law, NIS cannot publish, or otherwise make available to one individual or organization, statistics that could enable the identification of data for any individual person or entity.</w:t>
            </w:r>
            <w:r>
              <w:rPr>
                <w:sz w:val="22"/>
                <w:szCs w:val="22"/>
              </w:rPr>
              <w:br/>
              <w:t xml:space="preserve">NIS has been repeatedly and </w:t>
            </w:r>
            <w:r>
              <w:rPr>
                <w:sz w:val="22"/>
                <w:szCs w:val="22"/>
              </w:rPr>
              <w:t xml:space="preserve">publicly </w:t>
            </w:r>
            <w:proofErr w:type="spellStart"/>
            <w:r>
              <w:rPr>
                <w:sz w:val="22"/>
                <w:szCs w:val="22"/>
              </w:rPr>
              <w:t>recognised</w:t>
            </w:r>
            <w:proofErr w:type="spellEnd"/>
            <w:r>
              <w:rPr>
                <w:sz w:val="22"/>
                <w:szCs w:val="22"/>
              </w:rPr>
              <w:t xml:space="preserve"> by the government as fully intellectually independent: it decides by itself which data to collect, which methodology to use, and which results, methodological notes and commentaries are published.</w:t>
            </w:r>
            <w:r>
              <w:rPr>
                <w:sz w:val="22"/>
                <w:szCs w:val="22"/>
              </w:rPr>
              <w:br/>
              <w:t xml:space="preserve">The most important aspects on the </w:t>
            </w:r>
            <w:proofErr w:type="spellStart"/>
            <w:r>
              <w:rPr>
                <w:sz w:val="22"/>
                <w:szCs w:val="22"/>
              </w:rPr>
              <w:t>organ</w:t>
            </w:r>
            <w:r>
              <w:rPr>
                <w:sz w:val="22"/>
                <w:szCs w:val="22"/>
              </w:rPr>
              <w:t>isation</w:t>
            </w:r>
            <w:proofErr w:type="spellEnd"/>
            <w:r>
              <w:rPr>
                <w:sz w:val="22"/>
                <w:szCs w:val="22"/>
              </w:rPr>
              <w:t xml:space="preserve"> of the official statistics in Romanian are posted on the National Institute of Statistics Internet website (http://www.insse.ro/cms/en). Copies of the statistical laws are available in Romanian from the library of the National Institute of Statisti</w:t>
            </w:r>
            <w:r>
              <w:rPr>
                <w:sz w:val="22"/>
                <w:szCs w:val="22"/>
              </w:rPr>
              <w:t>cs.</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34" w:name="conf_data_tr"/>
            <w:bookmarkEnd w:id="34"/>
            <w:r>
              <w:rPr>
                <w:rFonts w:eastAsia="Times New Roman"/>
                <w:b/>
                <w:bCs/>
                <w:sz w:val="22"/>
                <w:szCs w:val="22"/>
              </w:rPr>
              <w:t>7.2. Confidentiality - data treatment</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 xml:space="preserve">A rule of a minimum number of units is applied. Generally, confidential data are aggregated to avoid disclosure. </w:t>
            </w:r>
            <w:proofErr w:type="gramStart"/>
            <w:r>
              <w:rPr>
                <w:sz w:val="22"/>
                <w:szCs w:val="22"/>
              </w:rPr>
              <w:t>Also</w:t>
            </w:r>
            <w:proofErr w:type="gramEnd"/>
            <w:r>
              <w:rPr>
                <w:sz w:val="22"/>
                <w:szCs w:val="22"/>
              </w:rPr>
              <w:t xml:space="preserve"> under the provision of the statistical law, NIS cannot publish, or otherwise make available </w:t>
            </w:r>
            <w:r>
              <w:rPr>
                <w:sz w:val="22"/>
                <w:szCs w:val="22"/>
              </w:rPr>
              <w:t xml:space="preserve">to an individual or </w:t>
            </w:r>
            <w:proofErr w:type="spellStart"/>
            <w:r>
              <w:rPr>
                <w:sz w:val="22"/>
                <w:szCs w:val="22"/>
              </w:rPr>
              <w:t>organisation</w:t>
            </w:r>
            <w:proofErr w:type="spellEnd"/>
            <w:r>
              <w:rPr>
                <w:sz w:val="22"/>
                <w:szCs w:val="22"/>
              </w:rPr>
              <w:t>, statistics that could enable the identification of data for any individual person or entity.</w:t>
            </w:r>
          </w:p>
        </w:tc>
        <w:tc>
          <w:tcPr>
            <w:tcW w:w="0" w:type="auto"/>
            <w:vAlign w:val="center"/>
            <w:hideMark/>
          </w:tcPr>
          <w:p w:rsidR="00000000" w:rsidRDefault="008E0897">
            <w:pPr>
              <w:rPr>
                <w:rFonts w:eastAsia="Times New Roman"/>
                <w:sz w:val="20"/>
                <w:szCs w:val="20"/>
              </w:rPr>
            </w:pPr>
          </w:p>
        </w:tc>
      </w:tr>
    </w:tbl>
    <w:p w:rsidR="00000000" w:rsidRDefault="008E0897">
      <w:pPr>
        <w:pStyle w:val="doccommon1"/>
        <w:shd w:val="clear" w:color="auto" w:fill="FFFFFF"/>
        <w:divId w:val="373576125"/>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3735761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517"/>
              <w:gridCol w:w="1186"/>
            </w:tblGrid>
            <w:tr w:rsidR="00000000">
              <w:trPr>
                <w:tblCellSpacing w:w="0" w:type="dxa"/>
              </w:trPr>
              <w:tc>
                <w:tcPr>
                  <w:tcW w:w="0" w:type="auto"/>
                  <w:vAlign w:val="center"/>
                  <w:hideMark/>
                </w:tcPr>
                <w:p w:rsidR="00000000" w:rsidRDefault="008E0897">
                  <w:pPr>
                    <w:rPr>
                      <w:rFonts w:eastAsia="Times New Roman"/>
                      <w:b/>
                      <w:bCs/>
                      <w:sz w:val="32"/>
                      <w:szCs w:val="32"/>
                    </w:rPr>
                  </w:pPr>
                  <w:bookmarkStart w:id="35" w:name="rel_policy1633422758528"/>
                  <w:bookmarkStart w:id="36" w:name="rel_policy"/>
                  <w:bookmarkEnd w:id="35"/>
                  <w:bookmarkEnd w:id="36"/>
                  <w:r>
                    <w:rPr>
                      <w:rFonts w:eastAsia="Times New Roman"/>
                      <w:b/>
                      <w:bCs/>
                      <w:sz w:val="32"/>
                      <w:szCs w:val="32"/>
                    </w:rPr>
                    <w:t>8. Release policy</w:t>
                  </w:r>
                </w:p>
              </w:tc>
              <w:tc>
                <w:tcPr>
                  <w:tcW w:w="0" w:type="auto"/>
                  <w:vAlign w:val="center"/>
                  <w:hideMark/>
                </w:tcPr>
                <w:p w:rsidR="00000000" w:rsidRDefault="008E0897">
                  <w:pPr>
                    <w:jc w:val="right"/>
                    <w:rPr>
                      <w:rFonts w:eastAsia="Times New Roman"/>
                    </w:rPr>
                  </w:pPr>
                  <w:hyperlink w:history="1">
                    <w:r>
                      <w:rPr>
                        <w:rFonts w:eastAsia="Times New Roman"/>
                        <w:color w:val="0F4BA0"/>
                        <w:sz w:val="22"/>
                        <w:szCs w:val="22"/>
                        <w:u w:val="single"/>
                      </w:rPr>
                      <w:t>Top</w:t>
                    </w:r>
                  </w:hyperlink>
                </w:p>
              </w:tc>
            </w:tr>
          </w:tbl>
          <w:p w:rsidR="00000000" w:rsidRDefault="008E0897">
            <w:pPr>
              <w:rPr>
                <w:rFonts w:eastAsia="Times New Roman"/>
                <w:b/>
                <w:bCs/>
                <w:color w:val="000000"/>
                <w:sz w:val="32"/>
                <w:szCs w:val="32"/>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37" w:name="rel_cal_policy"/>
            <w:bookmarkEnd w:id="37"/>
            <w:r>
              <w:rPr>
                <w:rFonts w:eastAsia="Times New Roman"/>
                <w:b/>
                <w:bCs/>
                <w:sz w:val="22"/>
                <w:szCs w:val="22"/>
              </w:rPr>
              <w:lastRenderedPageBreak/>
              <w:t>8.1. Release calendar</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 xml:space="preserve">The release calendar is </w:t>
            </w:r>
            <w:proofErr w:type="spellStart"/>
            <w:r>
              <w:rPr>
                <w:sz w:val="22"/>
                <w:szCs w:val="22"/>
              </w:rPr>
              <w:t>publically</w:t>
            </w:r>
            <w:proofErr w:type="spellEnd"/>
            <w:r>
              <w:rPr>
                <w:sz w:val="22"/>
                <w:szCs w:val="22"/>
              </w:rPr>
              <w:t xml:space="preserve"> available and published at the end of the year for the following calendar year.</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38" w:name="rel_cal_access"/>
            <w:bookmarkEnd w:id="38"/>
            <w:r>
              <w:rPr>
                <w:rFonts w:eastAsia="Times New Roman"/>
                <w:b/>
                <w:bCs/>
                <w:sz w:val="22"/>
                <w:szCs w:val="22"/>
              </w:rPr>
              <w:t>8.2. Release calendar access</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jc w:val="both"/>
              <w:rPr>
                <w:sz w:val="22"/>
                <w:szCs w:val="22"/>
              </w:rPr>
            </w:pPr>
            <w:r>
              <w:rPr>
                <w:sz w:val="22"/>
                <w:szCs w:val="22"/>
              </w:rPr>
              <w:t>The Catalogue of statistical publications and services 2021 covers the statistical indicators published by the NIS’s publications (</w:t>
            </w:r>
            <w:hyperlink r:id="rId12" w:history="1">
              <w:r>
                <w:rPr>
                  <w:color w:val="0F4BA0"/>
                  <w:sz w:val="22"/>
                  <w:szCs w:val="22"/>
                  <w:u w:val="single"/>
                </w:rPr>
                <w:t>http://www.insse.ro/cms/en</w:t>
              </w:r>
            </w:hyperlink>
            <w:r>
              <w:rPr>
                <w:sz w:val="22"/>
                <w:szCs w:val="22"/>
              </w:rPr>
              <w:t>).</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39" w:name="rel_pol_us_ac"/>
            <w:bookmarkEnd w:id="39"/>
            <w:r>
              <w:rPr>
                <w:rFonts w:eastAsia="Times New Roman"/>
                <w:b/>
                <w:bCs/>
                <w:sz w:val="22"/>
                <w:szCs w:val="22"/>
              </w:rPr>
              <w:t>8.3. Release policy - user access</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Quarterly data are available to all users simultaneously at the time of release through the Prices Statistical Bulletin.</w:t>
            </w:r>
          </w:p>
          <w:p w:rsidR="00000000" w:rsidRDefault="008E0897">
            <w:pPr>
              <w:spacing w:before="30" w:after="30"/>
              <w:rPr>
                <w:sz w:val="22"/>
                <w:szCs w:val="22"/>
              </w:rPr>
            </w:pPr>
            <w:r>
              <w:rPr>
                <w:sz w:val="22"/>
                <w:szCs w:val="22"/>
              </w:rPr>
              <w:t xml:space="preserve">No </w:t>
            </w:r>
            <w:proofErr w:type="spellStart"/>
            <w:r>
              <w:rPr>
                <w:sz w:val="22"/>
                <w:szCs w:val="22"/>
              </w:rPr>
              <w:t>organisation</w:t>
            </w:r>
            <w:proofErr w:type="spellEnd"/>
            <w:r>
              <w:rPr>
                <w:sz w:val="22"/>
                <w:szCs w:val="22"/>
              </w:rPr>
              <w:t xml:space="preserve"> or person outside the NIS has prior access to the data before release to the public.</w:t>
            </w:r>
          </w:p>
          <w:p w:rsidR="00000000" w:rsidRDefault="008E0897">
            <w:pPr>
              <w:spacing w:before="30" w:after="30"/>
              <w:rPr>
                <w:sz w:val="22"/>
                <w:szCs w:val="22"/>
              </w:rPr>
            </w:pPr>
            <w:r>
              <w:rPr>
                <w:sz w:val="22"/>
                <w:szCs w:val="22"/>
              </w:rPr>
              <w:t>Data are transmitted to Eurostat a</w:t>
            </w:r>
            <w:r>
              <w:rPr>
                <w:sz w:val="22"/>
                <w:szCs w:val="22"/>
              </w:rPr>
              <w:t>s an index by e-DAMIS using SDMX format within 90 days (calendar days) from the end of the reference quarter.</w:t>
            </w:r>
          </w:p>
        </w:tc>
        <w:tc>
          <w:tcPr>
            <w:tcW w:w="0" w:type="auto"/>
            <w:vAlign w:val="center"/>
            <w:hideMark/>
          </w:tcPr>
          <w:p w:rsidR="00000000" w:rsidRDefault="008E0897">
            <w:pPr>
              <w:rPr>
                <w:rFonts w:eastAsia="Times New Roman"/>
                <w:sz w:val="20"/>
                <w:szCs w:val="20"/>
              </w:rPr>
            </w:pPr>
          </w:p>
        </w:tc>
      </w:tr>
    </w:tbl>
    <w:p w:rsidR="00000000" w:rsidRDefault="008E0897">
      <w:pPr>
        <w:pStyle w:val="doccommon1"/>
        <w:shd w:val="clear" w:color="auto" w:fill="FFFFFF"/>
        <w:divId w:val="373576125"/>
      </w:pPr>
    </w:p>
    <w:tbl>
      <w:tblPr>
        <w:tblW w:w="4950" w:type="pct"/>
        <w:tblCellMar>
          <w:left w:w="0" w:type="dxa"/>
          <w:right w:w="0" w:type="dxa"/>
        </w:tblCellMar>
        <w:tblLook w:val="04A0" w:firstRow="1" w:lastRow="0" w:firstColumn="1" w:lastColumn="0" w:noHBand="0" w:noVBand="1"/>
      </w:tblPr>
      <w:tblGrid>
        <w:gridCol w:w="8839"/>
        <w:gridCol w:w="122"/>
      </w:tblGrid>
      <w:tr w:rsidR="00000000">
        <w:trPr>
          <w:divId w:val="3735761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008"/>
              <w:gridCol w:w="695"/>
            </w:tblGrid>
            <w:tr w:rsidR="00000000">
              <w:trPr>
                <w:tblCellSpacing w:w="0" w:type="dxa"/>
              </w:trPr>
              <w:tc>
                <w:tcPr>
                  <w:tcW w:w="0" w:type="auto"/>
                  <w:vAlign w:val="center"/>
                  <w:hideMark/>
                </w:tcPr>
                <w:p w:rsidR="00000000" w:rsidRDefault="008E0897">
                  <w:pPr>
                    <w:rPr>
                      <w:rFonts w:eastAsia="Times New Roman"/>
                      <w:b/>
                      <w:bCs/>
                      <w:sz w:val="32"/>
                      <w:szCs w:val="32"/>
                    </w:rPr>
                  </w:pPr>
                  <w:bookmarkStart w:id="40" w:name="freq_diss1633422758528"/>
                  <w:bookmarkStart w:id="41" w:name="freq_diss"/>
                  <w:bookmarkEnd w:id="40"/>
                  <w:bookmarkEnd w:id="41"/>
                  <w:r>
                    <w:rPr>
                      <w:rFonts w:eastAsia="Times New Roman"/>
                      <w:b/>
                      <w:bCs/>
                      <w:sz w:val="32"/>
                      <w:szCs w:val="32"/>
                    </w:rPr>
                    <w:t>9. Frequency of dissemination</w:t>
                  </w:r>
                </w:p>
              </w:tc>
              <w:tc>
                <w:tcPr>
                  <w:tcW w:w="0" w:type="auto"/>
                  <w:vAlign w:val="center"/>
                  <w:hideMark/>
                </w:tcPr>
                <w:p w:rsidR="00000000" w:rsidRDefault="008E0897">
                  <w:pPr>
                    <w:jc w:val="right"/>
                    <w:rPr>
                      <w:rFonts w:eastAsia="Times New Roman"/>
                    </w:rPr>
                  </w:pPr>
                  <w:hyperlink w:history="1">
                    <w:r>
                      <w:rPr>
                        <w:rFonts w:eastAsia="Times New Roman"/>
                        <w:color w:val="0F4BA0"/>
                        <w:sz w:val="22"/>
                        <w:szCs w:val="22"/>
                        <w:u w:val="single"/>
                      </w:rPr>
                      <w:t>Top</w:t>
                    </w:r>
                  </w:hyperlink>
                </w:p>
              </w:tc>
            </w:tr>
          </w:tbl>
          <w:p w:rsidR="00000000" w:rsidRDefault="008E0897">
            <w:pPr>
              <w:rPr>
                <w:rFonts w:eastAsia="Times New Roman"/>
                <w:b/>
                <w:bCs/>
                <w:color w:val="000000"/>
                <w:sz w:val="32"/>
                <w:szCs w:val="32"/>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Quarterly.</w:t>
            </w:r>
          </w:p>
        </w:tc>
        <w:tc>
          <w:tcPr>
            <w:tcW w:w="0" w:type="auto"/>
            <w:vAlign w:val="center"/>
            <w:hideMark/>
          </w:tcPr>
          <w:p w:rsidR="00000000" w:rsidRDefault="008E0897">
            <w:pPr>
              <w:rPr>
                <w:rFonts w:eastAsia="Times New Roman"/>
                <w:sz w:val="20"/>
                <w:szCs w:val="20"/>
              </w:rPr>
            </w:pPr>
          </w:p>
        </w:tc>
      </w:tr>
    </w:tbl>
    <w:p w:rsidR="00000000" w:rsidRDefault="008E0897">
      <w:pPr>
        <w:pStyle w:val="doccommon1"/>
        <w:shd w:val="clear" w:color="auto" w:fill="FFFFFF"/>
        <w:divId w:val="373576125"/>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3735761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951"/>
              <w:gridCol w:w="752"/>
            </w:tblGrid>
            <w:tr w:rsidR="00000000">
              <w:trPr>
                <w:tblCellSpacing w:w="0" w:type="dxa"/>
              </w:trPr>
              <w:tc>
                <w:tcPr>
                  <w:tcW w:w="0" w:type="auto"/>
                  <w:vAlign w:val="center"/>
                  <w:hideMark/>
                </w:tcPr>
                <w:p w:rsidR="00000000" w:rsidRDefault="008E0897">
                  <w:pPr>
                    <w:rPr>
                      <w:rFonts w:eastAsia="Times New Roman"/>
                      <w:b/>
                      <w:bCs/>
                      <w:sz w:val="32"/>
                      <w:szCs w:val="32"/>
                    </w:rPr>
                  </w:pPr>
                  <w:bookmarkStart w:id="42" w:name="accessibility_clarity1633422758528"/>
                  <w:bookmarkStart w:id="43" w:name="accessibility_clarity"/>
                  <w:bookmarkEnd w:id="42"/>
                  <w:bookmarkEnd w:id="43"/>
                  <w:r>
                    <w:rPr>
                      <w:rFonts w:eastAsia="Times New Roman"/>
                      <w:b/>
                      <w:bCs/>
                      <w:sz w:val="32"/>
                      <w:szCs w:val="32"/>
                    </w:rPr>
                    <w:t>10. Accessibility and clarity</w:t>
                  </w:r>
                </w:p>
              </w:tc>
              <w:tc>
                <w:tcPr>
                  <w:tcW w:w="0" w:type="auto"/>
                  <w:vAlign w:val="center"/>
                  <w:hideMark/>
                </w:tcPr>
                <w:p w:rsidR="00000000" w:rsidRDefault="008E0897">
                  <w:pPr>
                    <w:jc w:val="right"/>
                    <w:rPr>
                      <w:rFonts w:eastAsia="Times New Roman"/>
                    </w:rPr>
                  </w:pPr>
                  <w:hyperlink w:history="1">
                    <w:r>
                      <w:rPr>
                        <w:rFonts w:eastAsia="Times New Roman"/>
                        <w:color w:val="0F4BA0"/>
                        <w:sz w:val="22"/>
                        <w:szCs w:val="22"/>
                        <w:u w:val="single"/>
                      </w:rPr>
                      <w:t>Top</w:t>
                    </w:r>
                  </w:hyperlink>
                </w:p>
              </w:tc>
            </w:tr>
          </w:tbl>
          <w:p w:rsidR="00000000" w:rsidRDefault="008E0897">
            <w:pPr>
              <w:rPr>
                <w:rFonts w:eastAsia="Times New Roman"/>
                <w:b/>
                <w:bCs/>
                <w:color w:val="000000"/>
                <w:sz w:val="32"/>
                <w:szCs w:val="32"/>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44" w:name="news_rel"/>
            <w:bookmarkEnd w:id="44"/>
            <w:r>
              <w:rPr>
                <w:rFonts w:eastAsia="Times New Roman"/>
                <w:b/>
                <w:bCs/>
                <w:sz w:val="22"/>
                <w:szCs w:val="22"/>
              </w:rPr>
              <w:t>10.1. Dissemination format - News release</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lang w:val="de-DE"/>
              </w:rPr>
              <w:t>There are no press releases</w:t>
            </w:r>
            <w:r>
              <w:rPr>
                <w:sz w:val="22"/>
                <w:szCs w:val="22"/>
              </w:rPr>
              <w:t xml:space="preserve"> for this indicator.</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45" w:name="publications"/>
            <w:bookmarkEnd w:id="45"/>
            <w:r>
              <w:rPr>
                <w:rFonts w:eastAsia="Times New Roman"/>
                <w:b/>
                <w:bCs/>
                <w:sz w:val="22"/>
                <w:szCs w:val="22"/>
              </w:rPr>
              <w:t>10.2. Dissemination format - Publications</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proofErr w:type="spellStart"/>
            <w:r>
              <w:rPr>
                <w:sz w:val="22"/>
                <w:szCs w:val="22"/>
              </w:rPr>
              <w:t>Buletinul</w:t>
            </w:r>
            <w:proofErr w:type="spellEnd"/>
            <w:r>
              <w:rPr>
                <w:sz w:val="22"/>
                <w:szCs w:val="22"/>
              </w:rPr>
              <w:t xml:space="preserve"> Statistic de </w:t>
            </w:r>
            <w:proofErr w:type="spellStart"/>
            <w:r>
              <w:rPr>
                <w:sz w:val="22"/>
                <w:szCs w:val="22"/>
              </w:rPr>
              <w:t>Preturi</w:t>
            </w:r>
            <w:proofErr w:type="spellEnd"/>
            <w:r>
              <w:rPr>
                <w:sz w:val="22"/>
                <w:szCs w:val="22"/>
              </w:rPr>
              <w:t xml:space="preserve"> (Prices Statistical Bulletin).</w:t>
            </w:r>
          </w:p>
          <w:p w:rsidR="00000000" w:rsidRDefault="008E0897">
            <w:pPr>
              <w:spacing w:before="30" w:after="30"/>
              <w:rPr>
                <w:sz w:val="22"/>
                <w:szCs w:val="22"/>
              </w:rPr>
            </w:pPr>
            <w:r>
              <w:rPr>
                <w:sz w:val="22"/>
                <w:szCs w:val="22"/>
              </w:rPr>
              <w:t>All statistical publications are available also in electronic format.</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46" w:name="online_db"/>
            <w:bookmarkEnd w:id="46"/>
            <w:r>
              <w:rPr>
                <w:rFonts w:eastAsia="Times New Roman"/>
                <w:b/>
                <w:bCs/>
                <w:sz w:val="22"/>
                <w:szCs w:val="22"/>
              </w:rPr>
              <w:t>10.3. Dissemination format - online database</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The SPPI data are not available in NIS online database.</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47" w:name="micro_dat_acc"/>
            <w:bookmarkEnd w:id="47"/>
            <w:r>
              <w:rPr>
                <w:rFonts w:eastAsia="Times New Roman"/>
                <w:b/>
                <w:bCs/>
                <w:sz w:val="22"/>
                <w:szCs w:val="22"/>
              </w:rPr>
              <w:t>10.4. Dissemination format - microdata access</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 xml:space="preserve">No microdata </w:t>
            </w:r>
            <w:proofErr w:type="gramStart"/>
            <w:r>
              <w:rPr>
                <w:sz w:val="22"/>
                <w:szCs w:val="22"/>
              </w:rPr>
              <w:t>are</w:t>
            </w:r>
            <w:proofErr w:type="gramEnd"/>
            <w:r>
              <w:rPr>
                <w:sz w:val="22"/>
                <w:szCs w:val="22"/>
              </w:rPr>
              <w:t xml:space="preserve"> disseminated.</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48" w:name="diss_other"/>
            <w:bookmarkEnd w:id="48"/>
            <w:r>
              <w:rPr>
                <w:rFonts w:eastAsia="Times New Roman"/>
                <w:b/>
                <w:bCs/>
                <w:sz w:val="22"/>
                <w:szCs w:val="22"/>
              </w:rPr>
              <w:t>10.5. Dissemination format - other</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lang w:val="de-DE"/>
              </w:rPr>
              <w:t>Data on SPPI are sent quarterly to Eurostat using SDMX format within 90 days  from the end of the quarter, both to be used in European aggregates as well as to be released as national data.</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49" w:name="doc_method"/>
            <w:bookmarkEnd w:id="49"/>
            <w:r>
              <w:rPr>
                <w:rFonts w:eastAsia="Times New Roman"/>
                <w:b/>
                <w:bCs/>
                <w:sz w:val="22"/>
                <w:szCs w:val="22"/>
              </w:rPr>
              <w:t>10.6. Documentation on methodology</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Brief details on the SPPI methodology are presented in the statistical publications.</w:t>
            </w:r>
          </w:p>
          <w:p w:rsidR="00000000" w:rsidRDefault="008E0897">
            <w:pPr>
              <w:spacing w:before="30" w:after="30"/>
              <w:rPr>
                <w:sz w:val="22"/>
                <w:szCs w:val="22"/>
              </w:rPr>
            </w:pPr>
            <w:r>
              <w:rPr>
                <w:sz w:val="22"/>
                <w:szCs w:val="22"/>
              </w:rPr>
              <w:t>Quarterly SPPI's data and methodological notes are published in Prices Statistical Bulletin.</w:t>
            </w:r>
          </w:p>
          <w:p w:rsidR="00000000" w:rsidRDefault="008E0897">
            <w:pPr>
              <w:spacing w:before="30" w:after="30"/>
              <w:rPr>
                <w:sz w:val="22"/>
                <w:szCs w:val="22"/>
              </w:rPr>
            </w:pPr>
            <w:r>
              <w:rPr>
                <w:sz w:val="22"/>
                <w:szCs w:val="22"/>
              </w:rPr>
              <w:t xml:space="preserve">The price indices are published compared </w:t>
            </w:r>
            <w:r>
              <w:rPr>
                <w:sz w:val="22"/>
                <w:szCs w:val="22"/>
              </w:rPr>
              <w:t>to the reference period required by the STS Regulation (2015=100).</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50" w:name="quality_doc"/>
            <w:bookmarkEnd w:id="50"/>
            <w:r>
              <w:rPr>
                <w:rFonts w:eastAsia="Times New Roman"/>
                <w:b/>
                <w:bCs/>
                <w:sz w:val="22"/>
                <w:szCs w:val="22"/>
              </w:rPr>
              <w:t>10.7. Quality management - documentation</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Not available.</w:t>
            </w:r>
          </w:p>
        </w:tc>
        <w:tc>
          <w:tcPr>
            <w:tcW w:w="0" w:type="auto"/>
            <w:vAlign w:val="center"/>
            <w:hideMark/>
          </w:tcPr>
          <w:p w:rsidR="00000000" w:rsidRDefault="008E0897">
            <w:pPr>
              <w:rPr>
                <w:rFonts w:eastAsia="Times New Roman"/>
                <w:sz w:val="20"/>
                <w:szCs w:val="20"/>
              </w:rPr>
            </w:pPr>
          </w:p>
        </w:tc>
      </w:tr>
    </w:tbl>
    <w:p w:rsidR="00000000" w:rsidRDefault="008E0897">
      <w:pPr>
        <w:pStyle w:val="doccommon1"/>
        <w:shd w:val="clear" w:color="auto" w:fill="FFFFFF"/>
        <w:divId w:val="373576125"/>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3735761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869"/>
              <w:gridCol w:w="834"/>
            </w:tblGrid>
            <w:tr w:rsidR="00000000">
              <w:trPr>
                <w:tblCellSpacing w:w="0" w:type="dxa"/>
              </w:trPr>
              <w:tc>
                <w:tcPr>
                  <w:tcW w:w="0" w:type="auto"/>
                  <w:vAlign w:val="center"/>
                  <w:hideMark/>
                </w:tcPr>
                <w:p w:rsidR="00000000" w:rsidRDefault="008E0897">
                  <w:pPr>
                    <w:rPr>
                      <w:rFonts w:eastAsia="Times New Roman"/>
                      <w:b/>
                      <w:bCs/>
                      <w:sz w:val="32"/>
                      <w:szCs w:val="32"/>
                    </w:rPr>
                  </w:pPr>
                  <w:bookmarkStart w:id="51" w:name="quality_mgmnt1633422758528"/>
                  <w:bookmarkStart w:id="52" w:name="quality_mgmnt"/>
                  <w:bookmarkEnd w:id="51"/>
                  <w:bookmarkEnd w:id="52"/>
                  <w:r>
                    <w:rPr>
                      <w:rFonts w:eastAsia="Times New Roman"/>
                      <w:b/>
                      <w:bCs/>
                      <w:sz w:val="32"/>
                      <w:szCs w:val="32"/>
                    </w:rPr>
                    <w:t>11. Quality management</w:t>
                  </w:r>
                </w:p>
              </w:tc>
              <w:tc>
                <w:tcPr>
                  <w:tcW w:w="0" w:type="auto"/>
                  <w:vAlign w:val="center"/>
                  <w:hideMark/>
                </w:tcPr>
                <w:p w:rsidR="00000000" w:rsidRDefault="008E0897">
                  <w:pPr>
                    <w:jc w:val="right"/>
                    <w:rPr>
                      <w:rFonts w:eastAsia="Times New Roman"/>
                    </w:rPr>
                  </w:pPr>
                  <w:hyperlink w:history="1">
                    <w:r>
                      <w:rPr>
                        <w:rFonts w:eastAsia="Times New Roman"/>
                        <w:color w:val="0F4BA0"/>
                        <w:sz w:val="22"/>
                        <w:szCs w:val="22"/>
                        <w:u w:val="single"/>
                      </w:rPr>
                      <w:t>Top</w:t>
                    </w:r>
                  </w:hyperlink>
                </w:p>
              </w:tc>
            </w:tr>
          </w:tbl>
          <w:p w:rsidR="00000000" w:rsidRDefault="008E0897">
            <w:pPr>
              <w:rPr>
                <w:rFonts w:eastAsia="Times New Roman"/>
                <w:b/>
                <w:bCs/>
                <w:color w:val="000000"/>
                <w:sz w:val="32"/>
                <w:szCs w:val="32"/>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53" w:name="quality_assure"/>
            <w:bookmarkEnd w:id="53"/>
            <w:r>
              <w:rPr>
                <w:rFonts w:eastAsia="Times New Roman"/>
                <w:b/>
                <w:bCs/>
                <w:sz w:val="22"/>
                <w:szCs w:val="22"/>
              </w:rPr>
              <w:t>11.1. Quality assurance</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The system of official statistics follows international and European quality standards. NIS Romania has adopted the UN Fundamental Principles for Official Statistics as well as the European Statistics Code of Practice.</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54" w:name="quality_assmnt"/>
            <w:bookmarkEnd w:id="54"/>
            <w:r>
              <w:rPr>
                <w:rFonts w:eastAsia="Times New Roman"/>
                <w:b/>
                <w:bCs/>
                <w:sz w:val="22"/>
                <w:szCs w:val="22"/>
              </w:rPr>
              <w:lastRenderedPageBreak/>
              <w:t>11.2. Quality management - assessme</w:t>
            </w:r>
            <w:r>
              <w:rPr>
                <w:rFonts w:eastAsia="Times New Roman"/>
                <w:b/>
                <w:bCs/>
                <w:sz w:val="22"/>
                <w:szCs w:val="22"/>
              </w:rPr>
              <w:t>nt</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 xml:space="preserve">PEEI in Focus - Service Producer Price </w:t>
            </w:r>
            <w:proofErr w:type="gramStart"/>
            <w:r>
              <w:rPr>
                <w:sz w:val="22"/>
                <w:szCs w:val="22"/>
              </w:rPr>
              <w:t>Index .</w:t>
            </w:r>
            <w:proofErr w:type="gramEnd"/>
          </w:p>
          <w:p w:rsidR="00000000" w:rsidRDefault="008E0897">
            <w:pPr>
              <w:spacing w:before="30" w:after="30"/>
              <w:rPr>
                <w:sz w:val="22"/>
                <w:szCs w:val="22"/>
              </w:rPr>
            </w:pPr>
            <w:r>
              <w:rPr>
                <w:sz w:val="22"/>
                <w:szCs w:val="22"/>
              </w:rPr>
              <w:t xml:space="preserve">The statistical process is monitored regarding relevance, accuracy, timeliness, punctuality, coherence and comparability. </w:t>
            </w:r>
            <w:proofErr w:type="spellStart"/>
            <w:r>
              <w:rPr>
                <w:sz w:val="22"/>
                <w:szCs w:val="22"/>
              </w:rPr>
              <w:t>Self assessment</w:t>
            </w:r>
            <w:proofErr w:type="spellEnd"/>
            <w:r>
              <w:rPr>
                <w:sz w:val="22"/>
                <w:szCs w:val="22"/>
              </w:rPr>
              <w:t xml:space="preserve"> of the survey manager </w:t>
            </w:r>
            <w:proofErr w:type="gramStart"/>
            <w:r>
              <w:rPr>
                <w:sz w:val="22"/>
                <w:szCs w:val="22"/>
              </w:rPr>
              <w:t>are</w:t>
            </w:r>
            <w:proofErr w:type="gramEnd"/>
            <w:r>
              <w:rPr>
                <w:sz w:val="22"/>
                <w:szCs w:val="22"/>
              </w:rPr>
              <w:t xml:space="preserve"> carried out from time to time.</w:t>
            </w:r>
          </w:p>
        </w:tc>
        <w:tc>
          <w:tcPr>
            <w:tcW w:w="0" w:type="auto"/>
            <w:vAlign w:val="center"/>
            <w:hideMark/>
          </w:tcPr>
          <w:p w:rsidR="00000000" w:rsidRDefault="008E0897">
            <w:pPr>
              <w:rPr>
                <w:rFonts w:eastAsia="Times New Roman"/>
                <w:sz w:val="20"/>
                <w:szCs w:val="20"/>
              </w:rPr>
            </w:pPr>
          </w:p>
        </w:tc>
      </w:tr>
    </w:tbl>
    <w:p w:rsidR="00000000" w:rsidRDefault="008E0897">
      <w:pPr>
        <w:pStyle w:val="doccommon1"/>
        <w:shd w:val="clear" w:color="auto" w:fill="FFFFFF"/>
        <w:divId w:val="373576125"/>
      </w:pPr>
    </w:p>
    <w:tbl>
      <w:tblPr>
        <w:tblW w:w="4950" w:type="pct"/>
        <w:tblCellMar>
          <w:left w:w="0" w:type="dxa"/>
          <w:right w:w="0" w:type="dxa"/>
        </w:tblCellMar>
        <w:tblLook w:val="04A0" w:firstRow="1" w:lastRow="0" w:firstColumn="1" w:lastColumn="0" w:noHBand="0" w:noVBand="1"/>
      </w:tblPr>
      <w:tblGrid>
        <w:gridCol w:w="10596"/>
        <w:gridCol w:w="16"/>
      </w:tblGrid>
      <w:tr w:rsidR="00000000">
        <w:trPr>
          <w:divId w:val="3735761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700"/>
              <w:gridCol w:w="1654"/>
            </w:tblGrid>
            <w:tr w:rsidR="00000000">
              <w:trPr>
                <w:tblCellSpacing w:w="0" w:type="dxa"/>
              </w:trPr>
              <w:tc>
                <w:tcPr>
                  <w:tcW w:w="0" w:type="auto"/>
                  <w:vAlign w:val="center"/>
                  <w:hideMark/>
                </w:tcPr>
                <w:p w:rsidR="00000000" w:rsidRDefault="008E0897">
                  <w:pPr>
                    <w:rPr>
                      <w:rFonts w:eastAsia="Times New Roman"/>
                      <w:b/>
                      <w:bCs/>
                      <w:sz w:val="32"/>
                      <w:szCs w:val="32"/>
                    </w:rPr>
                  </w:pPr>
                  <w:bookmarkStart w:id="55" w:name="relevance1633422758528"/>
                  <w:bookmarkStart w:id="56" w:name="relevance"/>
                  <w:bookmarkEnd w:id="55"/>
                  <w:bookmarkEnd w:id="56"/>
                  <w:r>
                    <w:rPr>
                      <w:rFonts w:eastAsia="Times New Roman"/>
                      <w:b/>
                      <w:bCs/>
                      <w:sz w:val="32"/>
                      <w:szCs w:val="32"/>
                    </w:rPr>
                    <w:t>12. Relevance</w:t>
                  </w:r>
                </w:p>
              </w:tc>
              <w:tc>
                <w:tcPr>
                  <w:tcW w:w="0" w:type="auto"/>
                  <w:vAlign w:val="center"/>
                  <w:hideMark/>
                </w:tcPr>
                <w:p w:rsidR="00000000" w:rsidRDefault="008E0897">
                  <w:pPr>
                    <w:jc w:val="right"/>
                    <w:rPr>
                      <w:rFonts w:eastAsia="Times New Roman"/>
                    </w:rPr>
                  </w:pPr>
                  <w:hyperlink w:history="1">
                    <w:r>
                      <w:rPr>
                        <w:rFonts w:eastAsia="Times New Roman"/>
                        <w:color w:val="0F4BA0"/>
                        <w:sz w:val="22"/>
                        <w:szCs w:val="22"/>
                        <w:u w:val="single"/>
                      </w:rPr>
                      <w:t>Top</w:t>
                    </w:r>
                  </w:hyperlink>
                </w:p>
              </w:tc>
            </w:tr>
          </w:tbl>
          <w:p w:rsidR="00000000" w:rsidRDefault="008E0897">
            <w:pPr>
              <w:rPr>
                <w:rFonts w:eastAsia="Times New Roman"/>
                <w:b/>
                <w:bCs/>
                <w:color w:val="000000"/>
                <w:sz w:val="32"/>
                <w:szCs w:val="32"/>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57" w:name="user_needs"/>
            <w:bookmarkEnd w:id="57"/>
            <w:r>
              <w:rPr>
                <w:rFonts w:eastAsia="Times New Roman"/>
                <w:b/>
                <w:bCs/>
                <w:sz w:val="22"/>
                <w:szCs w:val="22"/>
              </w:rPr>
              <w:t>12.1. Relevance - User Needs</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jc w:val="both"/>
              <w:rPr>
                <w:sz w:val="22"/>
                <w:szCs w:val="22"/>
              </w:rPr>
            </w:pPr>
            <w:r>
              <w:rPr>
                <w:sz w:val="22"/>
                <w:szCs w:val="22"/>
              </w:rPr>
              <w:t>SPPI’s have two main goals:</w:t>
            </w:r>
          </w:p>
          <w:p w:rsidR="00000000" w:rsidRDefault="008E0897">
            <w:pPr>
              <w:numPr>
                <w:ilvl w:val="0"/>
                <w:numId w:val="1"/>
              </w:numPr>
              <w:spacing w:before="100" w:beforeAutospacing="1" w:after="100" w:afterAutospacing="1"/>
              <w:ind w:left="945"/>
              <w:jc w:val="both"/>
              <w:rPr>
                <w:rFonts w:eastAsia="Times New Roman"/>
                <w:sz w:val="22"/>
                <w:szCs w:val="22"/>
              </w:rPr>
            </w:pPr>
            <w:r>
              <w:rPr>
                <w:rFonts w:eastAsia="Times New Roman"/>
                <w:sz w:val="22"/>
                <w:szCs w:val="22"/>
              </w:rPr>
              <w:t>provide a short-term indicator of the business cycle; </w:t>
            </w:r>
          </w:p>
          <w:p w:rsidR="00000000" w:rsidRDefault="008E0897">
            <w:pPr>
              <w:numPr>
                <w:ilvl w:val="0"/>
                <w:numId w:val="1"/>
              </w:numPr>
              <w:spacing w:before="100" w:beforeAutospacing="1" w:after="100" w:afterAutospacing="1"/>
              <w:ind w:left="945"/>
              <w:jc w:val="both"/>
              <w:rPr>
                <w:rFonts w:eastAsia="Times New Roman"/>
                <w:sz w:val="22"/>
                <w:szCs w:val="22"/>
              </w:rPr>
            </w:pPr>
            <w:r>
              <w:rPr>
                <w:rFonts w:eastAsia="Times New Roman"/>
                <w:sz w:val="22"/>
                <w:szCs w:val="22"/>
              </w:rPr>
              <w:t>provide a suitable deflator for value developments, mainly for national accounts and Index on Service Production (ISP) calculation.</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58" w:name="user_sat"/>
            <w:bookmarkEnd w:id="58"/>
            <w:r>
              <w:rPr>
                <w:rFonts w:eastAsia="Times New Roman"/>
                <w:b/>
                <w:bCs/>
                <w:sz w:val="22"/>
                <w:szCs w:val="22"/>
              </w:rPr>
              <w:t>12.2. Relevance - User Satisfaction</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We conduct a user satisfaction survey every three years. The latest one was in 2018.</w:t>
            </w:r>
            <w:r>
              <w:rPr>
                <w:sz w:val="22"/>
                <w:szCs w:val="22"/>
              </w:rPr>
              <w:t xml:space="preserve">The publication can be found at the following link: </w:t>
            </w:r>
            <w:hyperlink r:id="rId13" w:history="1">
              <w:r>
                <w:rPr>
                  <w:color w:val="0F4BA0"/>
                  <w:sz w:val="22"/>
                  <w:szCs w:val="22"/>
                  <w:u w:val="single"/>
                </w:rPr>
                <w:t>http://www.insse.ro/cms/sites/default/files/field/publicatii/analiza</w:t>
              </w:r>
              <w:r>
                <w:rPr>
                  <w:color w:val="0F4BA0"/>
                  <w:sz w:val="22"/>
                  <w:szCs w:val="22"/>
                  <w:u w:val="single"/>
                </w:rPr>
                <w:t>_gradului_de_satisfactie_al_utilizatorilor_2018.pdf</w:t>
              </w:r>
            </w:hyperlink>
            <w:r>
              <w:rPr>
                <w:sz w:val="22"/>
                <w:szCs w:val="22"/>
              </w:rPr>
              <w:t>. This publication presents the way in which the statistical data produced and the methodological information of the INS meet the information needs of the various user categories. It includes a presentatio</w:t>
            </w:r>
            <w:r>
              <w:rPr>
                <w:sz w:val="22"/>
                <w:szCs w:val="22"/>
              </w:rPr>
              <w:t>n of the main results of the statistical survey on the "Satisfaction of statistical data users”, respectively the profile of INS statistical data users, the confidence in the INS and the statistical data produced by INS, the assessment of the quality of th</w:t>
            </w:r>
            <w:r>
              <w:rPr>
                <w:sz w:val="22"/>
                <w:szCs w:val="22"/>
              </w:rPr>
              <w:t>e data produced by INS.</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59" w:name="completeness"/>
            <w:bookmarkEnd w:id="59"/>
            <w:r>
              <w:rPr>
                <w:rFonts w:eastAsia="Times New Roman"/>
                <w:b/>
                <w:bCs/>
                <w:sz w:val="22"/>
                <w:szCs w:val="22"/>
              </w:rPr>
              <w:t>12.3. Completeness</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All breakdowns and variable forms are provided, according to the STS Regulation.</w:t>
            </w:r>
          </w:p>
        </w:tc>
        <w:tc>
          <w:tcPr>
            <w:tcW w:w="0" w:type="auto"/>
            <w:vAlign w:val="center"/>
            <w:hideMark/>
          </w:tcPr>
          <w:p w:rsidR="00000000" w:rsidRDefault="008E0897">
            <w:pPr>
              <w:rPr>
                <w:rFonts w:eastAsia="Times New Roman"/>
                <w:sz w:val="20"/>
                <w:szCs w:val="20"/>
              </w:rPr>
            </w:pPr>
          </w:p>
        </w:tc>
      </w:tr>
    </w:tbl>
    <w:p w:rsidR="00000000" w:rsidRDefault="008E0897">
      <w:pPr>
        <w:pStyle w:val="doccommon1"/>
        <w:shd w:val="clear" w:color="auto" w:fill="FFFFFF"/>
        <w:divId w:val="373576125"/>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3735761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255"/>
              <w:gridCol w:w="1448"/>
            </w:tblGrid>
            <w:tr w:rsidR="00000000">
              <w:trPr>
                <w:tblCellSpacing w:w="0" w:type="dxa"/>
              </w:trPr>
              <w:tc>
                <w:tcPr>
                  <w:tcW w:w="0" w:type="auto"/>
                  <w:vAlign w:val="center"/>
                  <w:hideMark/>
                </w:tcPr>
                <w:p w:rsidR="00000000" w:rsidRDefault="008E0897">
                  <w:pPr>
                    <w:rPr>
                      <w:rFonts w:eastAsia="Times New Roman"/>
                      <w:b/>
                      <w:bCs/>
                      <w:sz w:val="32"/>
                      <w:szCs w:val="32"/>
                    </w:rPr>
                  </w:pPr>
                  <w:bookmarkStart w:id="60" w:name="accuracy1633422758528"/>
                  <w:bookmarkStart w:id="61" w:name="accuracy"/>
                  <w:bookmarkEnd w:id="60"/>
                  <w:bookmarkEnd w:id="61"/>
                  <w:r>
                    <w:rPr>
                      <w:rFonts w:eastAsia="Times New Roman"/>
                      <w:b/>
                      <w:bCs/>
                      <w:sz w:val="32"/>
                      <w:szCs w:val="32"/>
                    </w:rPr>
                    <w:t>13. Accuracy</w:t>
                  </w:r>
                </w:p>
              </w:tc>
              <w:tc>
                <w:tcPr>
                  <w:tcW w:w="0" w:type="auto"/>
                  <w:vAlign w:val="center"/>
                  <w:hideMark/>
                </w:tcPr>
                <w:p w:rsidR="00000000" w:rsidRDefault="008E0897">
                  <w:pPr>
                    <w:jc w:val="right"/>
                    <w:rPr>
                      <w:rFonts w:eastAsia="Times New Roman"/>
                    </w:rPr>
                  </w:pPr>
                  <w:hyperlink w:history="1">
                    <w:r>
                      <w:rPr>
                        <w:rFonts w:eastAsia="Times New Roman"/>
                        <w:color w:val="0F4BA0"/>
                        <w:sz w:val="22"/>
                        <w:szCs w:val="22"/>
                        <w:u w:val="single"/>
                      </w:rPr>
                      <w:t>Top</w:t>
                    </w:r>
                  </w:hyperlink>
                </w:p>
              </w:tc>
            </w:tr>
          </w:tbl>
          <w:p w:rsidR="00000000" w:rsidRDefault="008E0897">
            <w:pPr>
              <w:rPr>
                <w:rFonts w:eastAsia="Times New Roman"/>
                <w:b/>
                <w:bCs/>
                <w:color w:val="000000"/>
                <w:sz w:val="32"/>
                <w:szCs w:val="32"/>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62" w:name="accuracy_overall"/>
            <w:bookmarkEnd w:id="62"/>
            <w:r>
              <w:rPr>
                <w:rFonts w:eastAsia="Times New Roman"/>
                <w:b/>
                <w:bCs/>
                <w:sz w:val="22"/>
                <w:szCs w:val="22"/>
              </w:rPr>
              <w:t>13.1. Accuracy - overall</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The services producer price index satisfies the principle of accuracy, as it reflects a true picture of the development of services producer prices within a certain economic activity.</w:t>
            </w:r>
          </w:p>
          <w:p w:rsidR="00000000" w:rsidRDefault="008E0897">
            <w:pPr>
              <w:spacing w:before="30" w:after="30"/>
              <w:rPr>
                <w:sz w:val="22"/>
                <w:szCs w:val="22"/>
              </w:rPr>
            </w:pPr>
            <w:r>
              <w:rPr>
                <w:sz w:val="22"/>
                <w:szCs w:val="22"/>
              </w:rPr>
              <w:t xml:space="preserve">There are negligible </w:t>
            </w:r>
            <w:proofErr w:type="gramStart"/>
            <w:r>
              <w:rPr>
                <w:sz w:val="22"/>
                <w:szCs w:val="22"/>
              </w:rPr>
              <w:t>non sampling</w:t>
            </w:r>
            <w:proofErr w:type="gramEnd"/>
            <w:r>
              <w:rPr>
                <w:sz w:val="22"/>
                <w:szCs w:val="22"/>
              </w:rPr>
              <w:t xml:space="preserve"> errors concerning coverage, measurement and </w:t>
            </w:r>
            <w:proofErr w:type="spellStart"/>
            <w:r>
              <w:rPr>
                <w:sz w:val="22"/>
                <w:szCs w:val="22"/>
              </w:rPr>
              <w:t>non response</w:t>
            </w:r>
            <w:proofErr w:type="spellEnd"/>
            <w:r>
              <w:rPr>
                <w:sz w:val="22"/>
                <w:szCs w:val="22"/>
              </w:rPr>
              <w:t>.</w:t>
            </w:r>
          </w:p>
          <w:p w:rsidR="00000000" w:rsidRDefault="008E0897">
            <w:pPr>
              <w:spacing w:before="30" w:after="30"/>
              <w:rPr>
                <w:sz w:val="22"/>
                <w:szCs w:val="22"/>
              </w:rPr>
            </w:pPr>
            <w:r>
              <w:rPr>
                <w:sz w:val="22"/>
                <w:szCs w:val="22"/>
              </w:rPr>
              <w:t>No CVs are calculated for SPPI.</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63" w:name="sampling_err"/>
            <w:bookmarkEnd w:id="63"/>
            <w:r>
              <w:rPr>
                <w:rFonts w:eastAsia="Times New Roman"/>
                <w:b/>
                <w:bCs/>
                <w:sz w:val="22"/>
                <w:szCs w:val="22"/>
              </w:rPr>
              <w:t>13.2. Sampling error</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A cut off sample is used therefor there are no sampling error.</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64" w:name="nonsampling_err"/>
            <w:bookmarkEnd w:id="64"/>
            <w:r>
              <w:rPr>
                <w:rFonts w:eastAsia="Times New Roman"/>
                <w:b/>
                <w:bCs/>
                <w:sz w:val="22"/>
                <w:szCs w:val="22"/>
              </w:rPr>
              <w:t>13.3. Non-sampling error</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The response ra</w:t>
            </w:r>
            <w:r>
              <w:rPr>
                <w:sz w:val="22"/>
                <w:szCs w:val="22"/>
              </w:rPr>
              <w:t>te for SPPI is about 98%.</w:t>
            </w:r>
          </w:p>
          <w:p w:rsidR="00000000" w:rsidRDefault="008E0897">
            <w:pPr>
              <w:spacing w:before="30" w:after="30"/>
              <w:rPr>
                <w:sz w:val="22"/>
                <w:szCs w:val="22"/>
              </w:rPr>
            </w:pPr>
            <w:r>
              <w:rPr>
                <w:sz w:val="22"/>
                <w:szCs w:val="22"/>
              </w:rPr>
              <w:t>The procedures to follow up with the non-responders refers to reminder telephone call and follow-up letters to remind the objective, timeliness, confidentiality of data and legal penalties in case of non-responses.</w:t>
            </w:r>
          </w:p>
          <w:p w:rsidR="00000000" w:rsidRDefault="008E0897">
            <w:pPr>
              <w:spacing w:before="30" w:after="30"/>
              <w:rPr>
                <w:sz w:val="22"/>
                <w:szCs w:val="22"/>
              </w:rPr>
            </w:pPr>
            <w:r>
              <w:rPr>
                <w:sz w:val="22"/>
                <w:szCs w:val="22"/>
              </w:rPr>
              <w:t>Usually the typ</w:t>
            </w:r>
            <w:r>
              <w:rPr>
                <w:sz w:val="22"/>
                <w:szCs w:val="22"/>
              </w:rPr>
              <w:t xml:space="preserve">ing errors could appear in the </w:t>
            </w:r>
            <w:proofErr w:type="gramStart"/>
            <w:r>
              <w:rPr>
                <w:sz w:val="22"/>
                <w:szCs w:val="22"/>
              </w:rPr>
              <w:t>processing  stage</w:t>
            </w:r>
            <w:proofErr w:type="gramEnd"/>
            <w:r>
              <w:rPr>
                <w:sz w:val="22"/>
                <w:szCs w:val="22"/>
              </w:rPr>
              <w:t xml:space="preserve"> and the data  are revised the next month. The difference between initial figures and revised figures represents about +/- 0.5 </w:t>
            </w:r>
            <w:r>
              <w:rPr>
                <w:rStyle w:val="Strong"/>
                <w:sz w:val="22"/>
                <w:szCs w:val="22"/>
              </w:rPr>
              <w:t xml:space="preserve">% </w:t>
            </w:r>
            <w:r>
              <w:rPr>
                <w:sz w:val="22"/>
                <w:szCs w:val="22"/>
              </w:rPr>
              <w:t>of the initial figures for total SPPI.</w:t>
            </w:r>
          </w:p>
          <w:p w:rsidR="00000000" w:rsidRDefault="008E0897">
            <w:pPr>
              <w:spacing w:before="30" w:after="30"/>
              <w:rPr>
                <w:sz w:val="22"/>
                <w:szCs w:val="22"/>
              </w:rPr>
            </w:pPr>
            <w:r>
              <w:rPr>
                <w:sz w:val="22"/>
                <w:szCs w:val="22"/>
              </w:rPr>
              <w:t>No models are used in estimation on erro</w:t>
            </w:r>
            <w:r>
              <w:rPr>
                <w:sz w:val="22"/>
                <w:szCs w:val="22"/>
              </w:rPr>
              <w:t>rs.</w:t>
            </w:r>
          </w:p>
        </w:tc>
        <w:tc>
          <w:tcPr>
            <w:tcW w:w="0" w:type="auto"/>
            <w:vAlign w:val="center"/>
            <w:hideMark/>
          </w:tcPr>
          <w:p w:rsidR="00000000" w:rsidRDefault="008E0897">
            <w:pPr>
              <w:rPr>
                <w:rFonts w:eastAsia="Times New Roman"/>
                <w:sz w:val="20"/>
                <w:szCs w:val="20"/>
              </w:rPr>
            </w:pPr>
          </w:p>
        </w:tc>
      </w:tr>
    </w:tbl>
    <w:p w:rsidR="00000000" w:rsidRDefault="008E0897">
      <w:pPr>
        <w:pStyle w:val="doccommon1"/>
        <w:shd w:val="clear" w:color="auto" w:fill="FFFFFF"/>
        <w:divId w:val="373576125"/>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3735761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022"/>
              <w:gridCol w:w="681"/>
            </w:tblGrid>
            <w:tr w:rsidR="00000000">
              <w:trPr>
                <w:tblCellSpacing w:w="0" w:type="dxa"/>
              </w:trPr>
              <w:tc>
                <w:tcPr>
                  <w:tcW w:w="0" w:type="auto"/>
                  <w:vAlign w:val="center"/>
                  <w:hideMark/>
                </w:tcPr>
                <w:p w:rsidR="00000000" w:rsidRDefault="008E0897">
                  <w:pPr>
                    <w:rPr>
                      <w:rFonts w:eastAsia="Times New Roman"/>
                      <w:b/>
                      <w:bCs/>
                      <w:sz w:val="32"/>
                      <w:szCs w:val="32"/>
                    </w:rPr>
                  </w:pPr>
                  <w:bookmarkStart w:id="65" w:name="timeliness_punct1633422758528"/>
                  <w:bookmarkStart w:id="66" w:name="timeliness_punct"/>
                  <w:bookmarkEnd w:id="65"/>
                  <w:bookmarkEnd w:id="66"/>
                  <w:r>
                    <w:rPr>
                      <w:rFonts w:eastAsia="Times New Roman"/>
                      <w:b/>
                      <w:bCs/>
                      <w:sz w:val="32"/>
                      <w:szCs w:val="32"/>
                    </w:rPr>
                    <w:t>14. Timeliness and punctuality</w:t>
                  </w:r>
                </w:p>
              </w:tc>
              <w:tc>
                <w:tcPr>
                  <w:tcW w:w="0" w:type="auto"/>
                  <w:vAlign w:val="center"/>
                  <w:hideMark/>
                </w:tcPr>
                <w:p w:rsidR="00000000" w:rsidRDefault="008E0897">
                  <w:pPr>
                    <w:jc w:val="right"/>
                    <w:rPr>
                      <w:rFonts w:eastAsia="Times New Roman"/>
                    </w:rPr>
                  </w:pPr>
                  <w:hyperlink w:history="1">
                    <w:r>
                      <w:rPr>
                        <w:rFonts w:eastAsia="Times New Roman"/>
                        <w:color w:val="0F4BA0"/>
                        <w:sz w:val="22"/>
                        <w:szCs w:val="22"/>
                        <w:u w:val="single"/>
                      </w:rPr>
                      <w:t>Top</w:t>
                    </w:r>
                  </w:hyperlink>
                </w:p>
              </w:tc>
            </w:tr>
          </w:tbl>
          <w:p w:rsidR="00000000" w:rsidRDefault="008E0897">
            <w:pPr>
              <w:rPr>
                <w:rFonts w:eastAsia="Times New Roman"/>
                <w:b/>
                <w:bCs/>
                <w:color w:val="000000"/>
                <w:sz w:val="32"/>
                <w:szCs w:val="32"/>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67" w:name="timeliness"/>
            <w:bookmarkEnd w:id="67"/>
            <w:r>
              <w:rPr>
                <w:rFonts w:eastAsia="Times New Roman"/>
                <w:b/>
                <w:bCs/>
                <w:sz w:val="22"/>
                <w:szCs w:val="22"/>
              </w:rPr>
              <w:lastRenderedPageBreak/>
              <w:t>14.1. Timeliness</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The indices are transmitted to Eurostat and published each quarter, according to the pre-announced schedule, in general 90 days after the quarter in question.</w:t>
            </w:r>
          </w:p>
          <w:p w:rsidR="00000000" w:rsidRDefault="008E0897">
            <w:pPr>
              <w:spacing w:before="30" w:after="30"/>
              <w:rPr>
                <w:sz w:val="22"/>
                <w:szCs w:val="22"/>
              </w:rPr>
            </w:pPr>
            <w:r>
              <w:rPr>
                <w:sz w:val="22"/>
                <w:szCs w:val="22"/>
              </w:rPr>
              <w:t>The questionnaires are sent to the enterprises at the beginning of each year.</w:t>
            </w:r>
            <w:r>
              <w:rPr>
                <w:sz w:val="22"/>
                <w:szCs w:val="22"/>
              </w:rPr>
              <w:br/>
              <w:t>The enterprises are requested to answer no later than the 25th day after the end of the reference quarter to the territorial statistical direction where data are introduced in th</w:t>
            </w:r>
            <w:r>
              <w:rPr>
                <w:sz w:val="22"/>
                <w:szCs w:val="22"/>
              </w:rPr>
              <w:t>e SPPI application and sent to headquarters on the 35th day after the end of reference quarter.</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68" w:name="punctuality"/>
            <w:bookmarkEnd w:id="68"/>
            <w:r>
              <w:rPr>
                <w:rFonts w:eastAsia="Times New Roman"/>
                <w:b/>
                <w:bCs/>
                <w:sz w:val="22"/>
                <w:szCs w:val="22"/>
              </w:rPr>
              <w:t>14.2. Punctuality</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jc w:val="both"/>
              <w:rPr>
                <w:sz w:val="22"/>
                <w:szCs w:val="22"/>
              </w:rPr>
            </w:pPr>
            <w:r>
              <w:rPr>
                <w:sz w:val="22"/>
                <w:szCs w:val="22"/>
              </w:rPr>
              <w:t>The SPPI’s are always published on pre-announced date:</w:t>
            </w:r>
          </w:p>
          <w:p w:rsidR="00000000" w:rsidRDefault="008E0897">
            <w:pPr>
              <w:numPr>
                <w:ilvl w:val="0"/>
                <w:numId w:val="2"/>
              </w:numPr>
              <w:spacing w:before="100" w:beforeAutospacing="1" w:after="100" w:afterAutospacing="1"/>
              <w:ind w:left="945"/>
              <w:jc w:val="both"/>
              <w:rPr>
                <w:rFonts w:eastAsia="Times New Roman"/>
                <w:sz w:val="22"/>
                <w:szCs w:val="22"/>
              </w:rPr>
            </w:pPr>
            <w:r>
              <w:rPr>
                <w:rFonts w:eastAsia="Times New Roman"/>
                <w:sz w:val="22"/>
                <w:szCs w:val="22"/>
              </w:rPr>
              <w:t>Prices Statistical Bulletin - Q + 100 calendar days;</w:t>
            </w:r>
          </w:p>
          <w:p w:rsidR="00000000" w:rsidRDefault="008E0897">
            <w:pPr>
              <w:numPr>
                <w:ilvl w:val="0"/>
                <w:numId w:val="2"/>
              </w:numPr>
              <w:spacing w:before="100" w:beforeAutospacing="1" w:after="100" w:afterAutospacing="1"/>
              <w:ind w:left="945"/>
              <w:jc w:val="both"/>
              <w:rPr>
                <w:rFonts w:eastAsia="Times New Roman"/>
                <w:sz w:val="22"/>
                <w:szCs w:val="22"/>
              </w:rPr>
            </w:pPr>
            <w:r>
              <w:rPr>
                <w:rFonts w:eastAsia="Times New Roman"/>
                <w:sz w:val="22"/>
                <w:szCs w:val="22"/>
              </w:rPr>
              <w:t xml:space="preserve">European level (Eurostat) - Q </w:t>
            </w:r>
            <w:r>
              <w:rPr>
                <w:rFonts w:eastAsia="Times New Roman"/>
                <w:sz w:val="22"/>
                <w:szCs w:val="22"/>
              </w:rPr>
              <w:t>+ 92 calendar day.</w:t>
            </w:r>
          </w:p>
        </w:tc>
        <w:tc>
          <w:tcPr>
            <w:tcW w:w="0" w:type="auto"/>
            <w:vAlign w:val="center"/>
            <w:hideMark/>
          </w:tcPr>
          <w:p w:rsidR="00000000" w:rsidRDefault="008E0897">
            <w:pPr>
              <w:rPr>
                <w:rFonts w:eastAsia="Times New Roman"/>
                <w:sz w:val="20"/>
                <w:szCs w:val="20"/>
              </w:rPr>
            </w:pPr>
          </w:p>
        </w:tc>
      </w:tr>
    </w:tbl>
    <w:p w:rsidR="00000000" w:rsidRDefault="008E0897">
      <w:pPr>
        <w:pStyle w:val="doccommon1"/>
        <w:shd w:val="clear" w:color="auto" w:fill="FFFFFF"/>
        <w:divId w:val="373576125"/>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3735761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8071"/>
              <w:gridCol w:w="632"/>
            </w:tblGrid>
            <w:tr w:rsidR="00000000">
              <w:trPr>
                <w:tblCellSpacing w:w="0" w:type="dxa"/>
              </w:trPr>
              <w:tc>
                <w:tcPr>
                  <w:tcW w:w="0" w:type="auto"/>
                  <w:vAlign w:val="center"/>
                  <w:hideMark/>
                </w:tcPr>
                <w:p w:rsidR="00000000" w:rsidRDefault="008E0897">
                  <w:pPr>
                    <w:rPr>
                      <w:rFonts w:eastAsia="Times New Roman"/>
                      <w:b/>
                      <w:bCs/>
                      <w:sz w:val="32"/>
                      <w:szCs w:val="32"/>
                    </w:rPr>
                  </w:pPr>
                  <w:bookmarkStart w:id="69" w:name="coher_compar1633422758528"/>
                  <w:bookmarkStart w:id="70" w:name="coher_compar"/>
                  <w:bookmarkEnd w:id="69"/>
                  <w:bookmarkEnd w:id="70"/>
                  <w:r>
                    <w:rPr>
                      <w:rFonts w:eastAsia="Times New Roman"/>
                      <w:b/>
                      <w:bCs/>
                      <w:sz w:val="32"/>
                      <w:szCs w:val="32"/>
                    </w:rPr>
                    <w:t>15. Coherence and comparability</w:t>
                  </w:r>
                </w:p>
              </w:tc>
              <w:tc>
                <w:tcPr>
                  <w:tcW w:w="0" w:type="auto"/>
                  <w:vAlign w:val="center"/>
                  <w:hideMark/>
                </w:tcPr>
                <w:p w:rsidR="00000000" w:rsidRDefault="008E0897">
                  <w:pPr>
                    <w:jc w:val="right"/>
                    <w:rPr>
                      <w:rFonts w:eastAsia="Times New Roman"/>
                    </w:rPr>
                  </w:pPr>
                  <w:hyperlink w:history="1">
                    <w:r>
                      <w:rPr>
                        <w:rFonts w:eastAsia="Times New Roman"/>
                        <w:color w:val="0F4BA0"/>
                        <w:sz w:val="22"/>
                        <w:szCs w:val="22"/>
                        <w:u w:val="single"/>
                      </w:rPr>
                      <w:t>Top</w:t>
                    </w:r>
                  </w:hyperlink>
                </w:p>
              </w:tc>
            </w:tr>
          </w:tbl>
          <w:p w:rsidR="00000000" w:rsidRDefault="008E0897">
            <w:pPr>
              <w:rPr>
                <w:rFonts w:eastAsia="Times New Roman"/>
                <w:b/>
                <w:bCs/>
                <w:color w:val="000000"/>
                <w:sz w:val="32"/>
                <w:szCs w:val="32"/>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71" w:name="compar_geo"/>
            <w:bookmarkEnd w:id="71"/>
            <w:r>
              <w:rPr>
                <w:rFonts w:eastAsia="Times New Roman"/>
                <w:b/>
                <w:bCs/>
                <w:sz w:val="22"/>
                <w:szCs w:val="22"/>
              </w:rPr>
              <w:t>15.1. Comparability - geographical</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jc w:val="both"/>
              <w:rPr>
                <w:sz w:val="22"/>
                <w:szCs w:val="22"/>
              </w:rPr>
            </w:pPr>
            <w:r>
              <w:rPr>
                <w:sz w:val="22"/>
                <w:szCs w:val="22"/>
              </w:rPr>
              <w:t>The SPPI’s are compiled only for the national level, so there are no problems of geographical comparability.</w:t>
            </w:r>
          </w:p>
          <w:p w:rsidR="00000000" w:rsidRDefault="008E0897">
            <w:pPr>
              <w:spacing w:before="30" w:after="30"/>
              <w:jc w:val="both"/>
              <w:rPr>
                <w:sz w:val="22"/>
                <w:szCs w:val="22"/>
              </w:rPr>
            </w:pPr>
            <w:r>
              <w:rPr>
                <w:sz w:val="22"/>
                <w:szCs w:val="22"/>
              </w:rPr>
              <w:t>Comparability of the Romanian SPPI with other European members is ensuring by applying the standard and methods required by the STS methodological guidelines.</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72" w:name="compar_time"/>
            <w:bookmarkEnd w:id="72"/>
            <w:r>
              <w:rPr>
                <w:rFonts w:eastAsia="Times New Roman"/>
                <w:b/>
                <w:bCs/>
                <w:sz w:val="22"/>
                <w:szCs w:val="22"/>
              </w:rPr>
              <w:t>15.2. Comparability - over time</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jc w:val="both"/>
              <w:rPr>
                <w:sz w:val="22"/>
                <w:szCs w:val="22"/>
              </w:rPr>
            </w:pPr>
            <w:r>
              <w:rPr>
                <w:sz w:val="22"/>
                <w:szCs w:val="22"/>
              </w:rPr>
              <w:t>The implementation of the STS requirements and changes of bas</w:t>
            </w:r>
            <w:r>
              <w:rPr>
                <w:sz w:val="22"/>
                <w:szCs w:val="22"/>
              </w:rPr>
              <w:t>e periods may introduce some breaks in the time series.</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73" w:name="coher_x_dom"/>
            <w:bookmarkEnd w:id="73"/>
            <w:r>
              <w:rPr>
                <w:rFonts w:eastAsia="Times New Roman"/>
                <w:b/>
                <w:bCs/>
                <w:sz w:val="22"/>
                <w:szCs w:val="22"/>
              </w:rPr>
              <w:t>15.3. Coherence - cross domain</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Cross-checks with other surveyed data such as sub-indices on low level aggregates from the CPI where is possible.</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74" w:name="coher_internal"/>
            <w:bookmarkEnd w:id="74"/>
            <w:r>
              <w:rPr>
                <w:rFonts w:eastAsia="Times New Roman"/>
                <w:b/>
                <w:bCs/>
                <w:sz w:val="22"/>
                <w:szCs w:val="22"/>
              </w:rPr>
              <w:t>15.4. Coherence - internal</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SPPI's are internal coherent. Higher level aggregations are derived from detailed indices according to well-defined procedures.</w:t>
            </w:r>
          </w:p>
        </w:tc>
        <w:tc>
          <w:tcPr>
            <w:tcW w:w="0" w:type="auto"/>
            <w:vAlign w:val="center"/>
            <w:hideMark/>
          </w:tcPr>
          <w:p w:rsidR="00000000" w:rsidRDefault="008E0897">
            <w:pPr>
              <w:rPr>
                <w:rFonts w:eastAsia="Times New Roman"/>
                <w:sz w:val="20"/>
                <w:szCs w:val="20"/>
              </w:rPr>
            </w:pPr>
          </w:p>
        </w:tc>
      </w:tr>
    </w:tbl>
    <w:p w:rsidR="00000000" w:rsidRDefault="008E0897">
      <w:pPr>
        <w:pStyle w:val="doccommon1"/>
        <w:shd w:val="clear" w:color="auto" w:fill="FFFFFF"/>
        <w:divId w:val="373576125"/>
      </w:pPr>
    </w:p>
    <w:tbl>
      <w:tblPr>
        <w:tblW w:w="4950" w:type="pct"/>
        <w:tblCellMar>
          <w:left w:w="0" w:type="dxa"/>
          <w:right w:w="0" w:type="dxa"/>
        </w:tblCellMar>
        <w:tblLook w:val="04A0" w:firstRow="1" w:lastRow="0" w:firstColumn="1" w:lastColumn="0" w:noHBand="0" w:noVBand="1"/>
      </w:tblPr>
      <w:tblGrid>
        <w:gridCol w:w="8927"/>
        <w:gridCol w:w="34"/>
      </w:tblGrid>
      <w:tr w:rsidR="00000000">
        <w:trPr>
          <w:divId w:val="3735761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727"/>
              <w:gridCol w:w="976"/>
            </w:tblGrid>
            <w:tr w:rsidR="00000000">
              <w:trPr>
                <w:tblCellSpacing w:w="0" w:type="dxa"/>
              </w:trPr>
              <w:tc>
                <w:tcPr>
                  <w:tcW w:w="0" w:type="auto"/>
                  <w:vAlign w:val="center"/>
                  <w:hideMark/>
                </w:tcPr>
                <w:p w:rsidR="00000000" w:rsidRDefault="008E0897">
                  <w:pPr>
                    <w:rPr>
                      <w:rFonts w:eastAsia="Times New Roman"/>
                      <w:b/>
                      <w:bCs/>
                      <w:sz w:val="32"/>
                      <w:szCs w:val="32"/>
                    </w:rPr>
                  </w:pPr>
                  <w:bookmarkStart w:id="75" w:name="cost_burden1633422758528"/>
                  <w:bookmarkStart w:id="76" w:name="cost_burden"/>
                  <w:bookmarkEnd w:id="75"/>
                  <w:bookmarkEnd w:id="76"/>
                  <w:r>
                    <w:rPr>
                      <w:rFonts w:eastAsia="Times New Roman"/>
                      <w:b/>
                      <w:bCs/>
                      <w:sz w:val="32"/>
                      <w:szCs w:val="32"/>
                    </w:rPr>
                    <w:t>16. Cost and Burden</w:t>
                  </w:r>
                </w:p>
              </w:tc>
              <w:tc>
                <w:tcPr>
                  <w:tcW w:w="0" w:type="auto"/>
                  <w:vAlign w:val="center"/>
                  <w:hideMark/>
                </w:tcPr>
                <w:p w:rsidR="00000000" w:rsidRDefault="008E0897">
                  <w:pPr>
                    <w:jc w:val="right"/>
                    <w:rPr>
                      <w:rFonts w:eastAsia="Times New Roman"/>
                    </w:rPr>
                  </w:pPr>
                  <w:hyperlink w:history="1">
                    <w:r>
                      <w:rPr>
                        <w:rFonts w:eastAsia="Times New Roman"/>
                        <w:color w:val="0F4BA0"/>
                        <w:sz w:val="22"/>
                        <w:szCs w:val="22"/>
                        <w:u w:val="single"/>
                      </w:rPr>
                      <w:t>Top</w:t>
                    </w:r>
                  </w:hyperlink>
                </w:p>
              </w:tc>
            </w:tr>
          </w:tbl>
          <w:p w:rsidR="00000000" w:rsidRDefault="008E0897">
            <w:pPr>
              <w:rPr>
                <w:rFonts w:eastAsia="Times New Roman"/>
                <w:b/>
                <w:bCs/>
                <w:color w:val="000000"/>
                <w:sz w:val="32"/>
                <w:szCs w:val="32"/>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 xml:space="preserve">Number of </w:t>
            </w:r>
            <w:proofErr w:type="gramStart"/>
            <w:r>
              <w:rPr>
                <w:sz w:val="22"/>
                <w:szCs w:val="22"/>
              </w:rPr>
              <w:t>unit</w:t>
            </w:r>
            <w:proofErr w:type="gramEnd"/>
            <w:r>
              <w:rPr>
                <w:sz w:val="22"/>
                <w:szCs w:val="22"/>
              </w:rPr>
              <w:t xml:space="preserve"> 2012 = 712</w:t>
            </w:r>
          </w:p>
          <w:p w:rsidR="00000000" w:rsidRDefault="008E0897">
            <w:pPr>
              <w:spacing w:before="30" w:after="30"/>
              <w:rPr>
                <w:sz w:val="22"/>
                <w:szCs w:val="22"/>
              </w:rPr>
            </w:pPr>
            <w:r>
              <w:rPr>
                <w:sz w:val="22"/>
                <w:szCs w:val="22"/>
              </w:rPr>
              <w:t>Cost (NIS) hours per year = 3893</w:t>
            </w:r>
          </w:p>
          <w:p w:rsidR="00000000" w:rsidRDefault="008E0897">
            <w:pPr>
              <w:spacing w:before="30" w:after="30"/>
              <w:rPr>
                <w:sz w:val="22"/>
                <w:szCs w:val="22"/>
              </w:rPr>
            </w:pPr>
            <w:r>
              <w:rPr>
                <w:sz w:val="22"/>
                <w:szCs w:val="22"/>
              </w:rPr>
              <w:t>Burden (respondents) hours per year = 1837</w:t>
            </w:r>
          </w:p>
        </w:tc>
        <w:tc>
          <w:tcPr>
            <w:tcW w:w="0" w:type="auto"/>
            <w:vAlign w:val="center"/>
            <w:hideMark/>
          </w:tcPr>
          <w:p w:rsidR="00000000" w:rsidRDefault="008E0897">
            <w:pPr>
              <w:rPr>
                <w:rFonts w:eastAsia="Times New Roman"/>
                <w:sz w:val="20"/>
                <w:szCs w:val="20"/>
              </w:rPr>
            </w:pPr>
          </w:p>
        </w:tc>
      </w:tr>
    </w:tbl>
    <w:p w:rsidR="00000000" w:rsidRDefault="008E0897">
      <w:pPr>
        <w:pStyle w:val="doccommon1"/>
        <w:shd w:val="clear" w:color="auto" w:fill="FFFFFF"/>
        <w:divId w:val="373576125"/>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3735761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541"/>
              <w:gridCol w:w="1162"/>
            </w:tblGrid>
            <w:tr w:rsidR="00000000">
              <w:trPr>
                <w:tblCellSpacing w:w="0" w:type="dxa"/>
              </w:trPr>
              <w:tc>
                <w:tcPr>
                  <w:tcW w:w="0" w:type="auto"/>
                  <w:vAlign w:val="center"/>
                  <w:hideMark/>
                </w:tcPr>
                <w:p w:rsidR="00000000" w:rsidRDefault="008E0897">
                  <w:pPr>
                    <w:rPr>
                      <w:rFonts w:eastAsia="Times New Roman"/>
                      <w:b/>
                      <w:bCs/>
                      <w:sz w:val="32"/>
                      <w:szCs w:val="32"/>
                    </w:rPr>
                  </w:pPr>
                  <w:bookmarkStart w:id="77" w:name="data_rev1633422758528"/>
                  <w:bookmarkStart w:id="78" w:name="data_rev"/>
                  <w:bookmarkEnd w:id="77"/>
                  <w:bookmarkEnd w:id="78"/>
                  <w:r>
                    <w:rPr>
                      <w:rFonts w:eastAsia="Times New Roman"/>
                      <w:b/>
                      <w:bCs/>
                      <w:sz w:val="32"/>
                      <w:szCs w:val="32"/>
                    </w:rPr>
                    <w:t>17. Data revision</w:t>
                  </w:r>
                </w:p>
              </w:tc>
              <w:tc>
                <w:tcPr>
                  <w:tcW w:w="0" w:type="auto"/>
                  <w:vAlign w:val="center"/>
                  <w:hideMark/>
                </w:tcPr>
                <w:p w:rsidR="00000000" w:rsidRDefault="008E0897">
                  <w:pPr>
                    <w:jc w:val="right"/>
                    <w:rPr>
                      <w:rFonts w:eastAsia="Times New Roman"/>
                    </w:rPr>
                  </w:pPr>
                  <w:hyperlink w:history="1">
                    <w:r>
                      <w:rPr>
                        <w:rFonts w:eastAsia="Times New Roman"/>
                        <w:color w:val="0F4BA0"/>
                        <w:sz w:val="22"/>
                        <w:szCs w:val="22"/>
                        <w:u w:val="single"/>
                      </w:rPr>
                      <w:t>Top</w:t>
                    </w:r>
                  </w:hyperlink>
                </w:p>
              </w:tc>
            </w:tr>
          </w:tbl>
          <w:p w:rsidR="00000000" w:rsidRDefault="008E0897">
            <w:pPr>
              <w:rPr>
                <w:rFonts w:eastAsia="Times New Roman"/>
                <w:b/>
                <w:bCs/>
                <w:color w:val="000000"/>
                <w:sz w:val="32"/>
                <w:szCs w:val="32"/>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79" w:name="rev_policy"/>
            <w:bookmarkEnd w:id="79"/>
            <w:r>
              <w:rPr>
                <w:rFonts w:eastAsia="Times New Roman"/>
                <w:b/>
                <w:bCs/>
                <w:sz w:val="22"/>
                <w:szCs w:val="22"/>
              </w:rPr>
              <w:t>17.1. Data revision - policy</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 xml:space="preserve">Data revisions follow the Revision Policy of the NIS Romania, which represent one of the key documents of the office.  The same revision policy is applied to STS data released nationally and transmitted to Eurostat. Calendar of standard revisions is being </w:t>
            </w:r>
            <w:r>
              <w:rPr>
                <w:sz w:val="22"/>
                <w:szCs w:val="22"/>
              </w:rPr>
              <w:t>prepared together with the release calendar (</w:t>
            </w:r>
            <w:hyperlink r:id="rId14" w:history="1">
              <w:r>
                <w:rPr>
                  <w:color w:val="0F4BA0"/>
                  <w:sz w:val="22"/>
                  <w:szCs w:val="22"/>
                  <w:u w:val="single"/>
                </w:rPr>
                <w:t>http://www.insse.ro/cms/en/content/revision-policy</w:t>
              </w:r>
            </w:hyperlink>
            <w:r>
              <w:rPr>
                <w:sz w:val="22"/>
                <w:szCs w:val="22"/>
              </w:rPr>
              <w:t>).</w:t>
            </w:r>
          </w:p>
          <w:p w:rsidR="00000000" w:rsidRDefault="008E0897">
            <w:pPr>
              <w:numPr>
                <w:ilvl w:val="0"/>
                <w:numId w:val="3"/>
              </w:numPr>
              <w:spacing w:before="100" w:beforeAutospacing="1" w:after="100" w:afterAutospacing="1"/>
              <w:ind w:left="945"/>
              <w:rPr>
                <w:rFonts w:eastAsia="Times New Roman"/>
                <w:sz w:val="22"/>
                <w:szCs w:val="22"/>
              </w:rPr>
            </w:pPr>
            <w:r>
              <w:rPr>
                <w:rFonts w:eastAsia="Times New Roman"/>
                <w:sz w:val="22"/>
                <w:szCs w:val="22"/>
              </w:rPr>
              <w:t xml:space="preserve">Routine revisions: The revised indices are published together with the preliminary indices </w:t>
            </w:r>
            <w:r>
              <w:rPr>
                <w:rFonts w:eastAsia="Times New Roman"/>
                <w:sz w:val="22"/>
                <w:szCs w:val="22"/>
              </w:rPr>
              <w:t>for the following month. Notice is given at the time the change is introduced.</w:t>
            </w:r>
          </w:p>
          <w:p w:rsidR="00000000" w:rsidRDefault="008E0897">
            <w:pPr>
              <w:numPr>
                <w:ilvl w:val="0"/>
                <w:numId w:val="3"/>
              </w:numPr>
              <w:spacing w:before="100" w:beforeAutospacing="1" w:after="100" w:afterAutospacing="1"/>
              <w:ind w:left="945"/>
              <w:rPr>
                <w:rFonts w:eastAsia="Times New Roman"/>
                <w:sz w:val="22"/>
                <w:szCs w:val="22"/>
              </w:rPr>
            </w:pPr>
            <w:r>
              <w:rPr>
                <w:rFonts w:eastAsia="Times New Roman"/>
                <w:sz w:val="22"/>
                <w:szCs w:val="22"/>
              </w:rPr>
              <w:lastRenderedPageBreak/>
              <w:t xml:space="preserve">Major revisions: In the case of regular index rebases (as a rule every five years), the results and changes in the calculation methodology </w:t>
            </w:r>
            <w:proofErr w:type="gramStart"/>
            <w:r>
              <w:rPr>
                <w:rFonts w:eastAsia="Times New Roman"/>
                <w:sz w:val="22"/>
                <w:szCs w:val="22"/>
              </w:rPr>
              <w:t>or  major</w:t>
            </w:r>
            <w:proofErr w:type="gramEnd"/>
            <w:r>
              <w:rPr>
                <w:rFonts w:eastAsia="Times New Roman"/>
                <w:sz w:val="22"/>
                <w:szCs w:val="22"/>
              </w:rPr>
              <w:t xml:space="preserve"> changes as classification  n</w:t>
            </w:r>
            <w:r>
              <w:rPr>
                <w:rFonts w:eastAsia="Times New Roman"/>
                <w:sz w:val="22"/>
                <w:szCs w:val="22"/>
              </w:rPr>
              <w:t>otice are presented in detail in the Price Statistical Bulletin and on the NIS website well in advance of the change.</w:t>
            </w:r>
          </w:p>
          <w:p w:rsidR="00000000" w:rsidRDefault="008E0897">
            <w:pPr>
              <w:spacing w:before="30" w:after="30"/>
              <w:rPr>
                <w:sz w:val="22"/>
                <w:szCs w:val="22"/>
              </w:rPr>
            </w:pPr>
            <w:r>
              <w:rPr>
                <w:sz w:val="22"/>
                <w:szCs w:val="22"/>
              </w:rPr>
              <w:t>Vintage database currently exists in the central processing database but is not publicly accessible.</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80" w:name="rev_practice"/>
            <w:bookmarkEnd w:id="80"/>
            <w:r>
              <w:rPr>
                <w:rFonts w:eastAsia="Times New Roman"/>
                <w:b/>
                <w:bCs/>
                <w:sz w:val="22"/>
                <w:szCs w:val="22"/>
              </w:rPr>
              <w:t>17.2. Data revision - practice</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The first release of RO SPPI is published as 'provisional' and is subject to revision in the next quarter due to more update information. A base-year revision leads to the backward revision of results.</w:t>
            </w:r>
          </w:p>
          <w:p w:rsidR="00000000" w:rsidRDefault="008E0897">
            <w:pPr>
              <w:spacing w:before="30" w:after="30"/>
              <w:rPr>
                <w:sz w:val="22"/>
                <w:szCs w:val="22"/>
              </w:rPr>
            </w:pPr>
            <w:r>
              <w:rPr>
                <w:sz w:val="22"/>
                <w:szCs w:val="22"/>
              </w:rPr>
              <w:t>Major changes in methodology are announced in all stat</w:t>
            </w:r>
            <w:r>
              <w:rPr>
                <w:sz w:val="22"/>
                <w:szCs w:val="22"/>
              </w:rPr>
              <w:t>istical publications at the time of the change. The status of data is clearly indicated in the publications. </w:t>
            </w:r>
          </w:p>
        </w:tc>
        <w:tc>
          <w:tcPr>
            <w:tcW w:w="0" w:type="auto"/>
            <w:vAlign w:val="center"/>
            <w:hideMark/>
          </w:tcPr>
          <w:p w:rsidR="00000000" w:rsidRDefault="008E0897">
            <w:pPr>
              <w:rPr>
                <w:rFonts w:eastAsia="Times New Roman"/>
                <w:sz w:val="20"/>
                <w:szCs w:val="20"/>
              </w:rPr>
            </w:pPr>
          </w:p>
        </w:tc>
      </w:tr>
    </w:tbl>
    <w:p w:rsidR="00000000" w:rsidRDefault="008E0897">
      <w:pPr>
        <w:pStyle w:val="doccommon1"/>
        <w:shd w:val="clear" w:color="auto" w:fill="FFFFFF"/>
        <w:divId w:val="373576125"/>
      </w:pPr>
    </w:p>
    <w:tbl>
      <w:tblPr>
        <w:tblW w:w="4950" w:type="pct"/>
        <w:tblCellMar>
          <w:left w:w="0" w:type="dxa"/>
          <w:right w:w="0" w:type="dxa"/>
        </w:tblCellMar>
        <w:tblLook w:val="04A0" w:firstRow="1" w:lastRow="0" w:firstColumn="1" w:lastColumn="0" w:noHBand="0" w:noVBand="1"/>
      </w:tblPr>
      <w:tblGrid>
        <w:gridCol w:w="8945"/>
        <w:gridCol w:w="16"/>
      </w:tblGrid>
      <w:tr w:rsidR="00000000">
        <w:trPr>
          <w:divId w:val="3735761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869"/>
              <w:gridCol w:w="834"/>
            </w:tblGrid>
            <w:tr w:rsidR="00000000">
              <w:trPr>
                <w:tblCellSpacing w:w="0" w:type="dxa"/>
              </w:trPr>
              <w:tc>
                <w:tcPr>
                  <w:tcW w:w="0" w:type="auto"/>
                  <w:vAlign w:val="center"/>
                  <w:hideMark/>
                </w:tcPr>
                <w:p w:rsidR="00000000" w:rsidRDefault="008E0897">
                  <w:pPr>
                    <w:rPr>
                      <w:rFonts w:eastAsia="Times New Roman"/>
                      <w:b/>
                      <w:bCs/>
                      <w:sz w:val="32"/>
                      <w:szCs w:val="32"/>
                    </w:rPr>
                  </w:pPr>
                  <w:bookmarkStart w:id="81" w:name="stat_process1633422758528"/>
                  <w:bookmarkStart w:id="82" w:name="stat_process"/>
                  <w:bookmarkEnd w:id="81"/>
                  <w:bookmarkEnd w:id="82"/>
                  <w:r>
                    <w:rPr>
                      <w:rFonts w:eastAsia="Times New Roman"/>
                      <w:b/>
                      <w:bCs/>
                      <w:sz w:val="32"/>
                      <w:szCs w:val="32"/>
                    </w:rPr>
                    <w:t>18. Statistical processing</w:t>
                  </w:r>
                </w:p>
              </w:tc>
              <w:tc>
                <w:tcPr>
                  <w:tcW w:w="0" w:type="auto"/>
                  <w:vAlign w:val="center"/>
                  <w:hideMark/>
                </w:tcPr>
                <w:p w:rsidR="00000000" w:rsidRDefault="008E0897">
                  <w:pPr>
                    <w:jc w:val="right"/>
                    <w:rPr>
                      <w:rFonts w:eastAsia="Times New Roman"/>
                    </w:rPr>
                  </w:pPr>
                  <w:hyperlink w:history="1">
                    <w:r>
                      <w:rPr>
                        <w:rFonts w:eastAsia="Times New Roman"/>
                        <w:color w:val="0F4BA0"/>
                        <w:sz w:val="22"/>
                        <w:szCs w:val="22"/>
                        <w:u w:val="single"/>
                      </w:rPr>
                      <w:t>Top</w:t>
                    </w:r>
                  </w:hyperlink>
                </w:p>
              </w:tc>
            </w:tr>
          </w:tbl>
          <w:p w:rsidR="00000000" w:rsidRDefault="008E0897">
            <w:pPr>
              <w:rPr>
                <w:rFonts w:eastAsia="Times New Roman"/>
                <w:b/>
                <w:bCs/>
                <w:color w:val="000000"/>
                <w:sz w:val="32"/>
                <w:szCs w:val="32"/>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83" w:name="source_type"/>
            <w:bookmarkEnd w:id="83"/>
            <w:r>
              <w:rPr>
                <w:rFonts w:eastAsia="Times New Roman"/>
                <w:b/>
                <w:bCs/>
                <w:sz w:val="22"/>
                <w:szCs w:val="22"/>
              </w:rPr>
              <w:t>18.1. Source data</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Statistical survey.</w:t>
            </w:r>
          </w:p>
          <w:p w:rsidR="00000000" w:rsidRDefault="008E0897">
            <w:pPr>
              <w:spacing w:before="30" w:after="30"/>
              <w:rPr>
                <w:sz w:val="22"/>
                <w:szCs w:val="22"/>
              </w:rPr>
            </w:pPr>
            <w:r>
              <w:rPr>
                <w:sz w:val="22"/>
                <w:szCs w:val="22"/>
              </w:rPr>
              <w:t>Statistical business register of Romania (REGIS) is used for deriving the survey’s sample.</w:t>
            </w:r>
          </w:p>
          <w:p w:rsidR="00000000" w:rsidRDefault="008E0897">
            <w:pPr>
              <w:spacing w:before="30" w:after="30"/>
              <w:rPr>
                <w:sz w:val="22"/>
                <w:szCs w:val="22"/>
              </w:rPr>
            </w:pPr>
            <w:r>
              <w:rPr>
                <w:sz w:val="22"/>
                <w:szCs w:val="22"/>
              </w:rPr>
              <w:t>Cut-off sample.</w:t>
            </w:r>
          </w:p>
          <w:p w:rsidR="00000000" w:rsidRDefault="008E0897">
            <w:pPr>
              <w:spacing w:before="30" w:after="30"/>
              <w:rPr>
                <w:sz w:val="22"/>
                <w:szCs w:val="22"/>
              </w:rPr>
            </w:pPr>
            <w:r>
              <w:rPr>
                <w:sz w:val="22"/>
                <w:szCs w:val="22"/>
              </w:rPr>
              <w:t xml:space="preserve">The sample was </w:t>
            </w:r>
            <w:proofErr w:type="gramStart"/>
            <w:r>
              <w:rPr>
                <w:sz w:val="22"/>
                <w:szCs w:val="22"/>
              </w:rPr>
              <w:t>drawn  from</w:t>
            </w:r>
            <w:proofErr w:type="gramEnd"/>
            <w:r>
              <w:rPr>
                <w:sz w:val="22"/>
                <w:szCs w:val="22"/>
              </w:rPr>
              <w:t xml:space="preserve"> Annual Statistical </w:t>
            </w:r>
            <w:proofErr w:type="spellStart"/>
            <w:r>
              <w:rPr>
                <w:sz w:val="22"/>
                <w:szCs w:val="22"/>
              </w:rPr>
              <w:t>Bussiness</w:t>
            </w:r>
            <w:proofErr w:type="spellEnd"/>
            <w:r>
              <w:rPr>
                <w:sz w:val="22"/>
                <w:szCs w:val="22"/>
              </w:rPr>
              <w:t xml:space="preserve"> Survey by taking into account all enterprises whose turnover (together) covered at least 50% </w:t>
            </w:r>
            <w:r>
              <w:rPr>
                <w:sz w:val="22"/>
                <w:szCs w:val="22"/>
              </w:rPr>
              <w:t>of total turnover registered for each  NACE rev.2 class at the country level.</w:t>
            </w:r>
            <w:r>
              <w:rPr>
                <w:sz w:val="22"/>
                <w:szCs w:val="22"/>
              </w:rPr>
              <w:br/>
              <w:t>All services provided by the enterprises included in the sample are recorded according with CPA 2015 classification (6 digits).</w:t>
            </w:r>
          </w:p>
          <w:p w:rsidR="00000000" w:rsidRDefault="008E0897">
            <w:pPr>
              <w:spacing w:before="30" w:after="30"/>
              <w:rPr>
                <w:sz w:val="22"/>
                <w:szCs w:val="22"/>
              </w:rPr>
            </w:pPr>
            <w:r>
              <w:rPr>
                <w:sz w:val="22"/>
                <w:szCs w:val="22"/>
                <w:lang w:val="en-GB"/>
              </w:rPr>
              <w:t>Sample size: about 550 enterprises are surveyed ea</w:t>
            </w:r>
            <w:r>
              <w:rPr>
                <w:sz w:val="22"/>
                <w:szCs w:val="22"/>
                <w:lang w:val="en-GB"/>
              </w:rPr>
              <w:t>ch quarter.</w:t>
            </w:r>
          </w:p>
          <w:p w:rsidR="00000000" w:rsidRDefault="008E0897">
            <w:pPr>
              <w:spacing w:before="30" w:after="30"/>
              <w:rPr>
                <w:sz w:val="22"/>
                <w:szCs w:val="22"/>
              </w:rPr>
            </w:pPr>
            <w:r>
              <w:rPr>
                <w:sz w:val="22"/>
                <w:szCs w:val="22"/>
              </w:rPr>
              <w:t xml:space="preserve">There is </w:t>
            </w:r>
            <w:proofErr w:type="gramStart"/>
            <w:r>
              <w:rPr>
                <w:sz w:val="22"/>
                <w:szCs w:val="22"/>
              </w:rPr>
              <w:t>a</w:t>
            </w:r>
            <w:proofErr w:type="gramEnd"/>
            <w:r>
              <w:rPr>
                <w:sz w:val="22"/>
                <w:szCs w:val="22"/>
              </w:rPr>
              <w:t xml:space="preserve"> annually </w:t>
            </w:r>
            <w:r>
              <w:rPr>
                <w:sz w:val="22"/>
                <w:szCs w:val="22"/>
                <w:lang w:val="en-GB"/>
              </w:rPr>
              <w:t>update of the sample.</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84" w:name="freq_coll"/>
            <w:bookmarkEnd w:id="84"/>
            <w:r>
              <w:rPr>
                <w:rFonts w:eastAsia="Times New Roman"/>
                <w:b/>
                <w:bCs/>
                <w:sz w:val="22"/>
                <w:szCs w:val="22"/>
              </w:rPr>
              <w:t>18.2. Frequency of data collection</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Quarterly.</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85" w:name="coll_method"/>
            <w:bookmarkEnd w:id="85"/>
            <w:r>
              <w:rPr>
                <w:rFonts w:eastAsia="Times New Roman"/>
                <w:b/>
                <w:bCs/>
                <w:sz w:val="22"/>
                <w:szCs w:val="22"/>
              </w:rPr>
              <w:t>18.3. Data collection</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The SPPI data are collected using a paper questionnaire. The form is clearly addressed to the company in question and include sufficient descriptions and explanations for the respondent to follow.</w:t>
            </w:r>
          </w:p>
          <w:p w:rsidR="00000000" w:rsidRDefault="008E0897">
            <w:pPr>
              <w:spacing w:before="30" w:after="30"/>
              <w:jc w:val="both"/>
              <w:rPr>
                <w:sz w:val="22"/>
                <w:szCs w:val="22"/>
              </w:rPr>
            </w:pPr>
            <w:r>
              <w:rPr>
                <w:sz w:val="22"/>
                <w:szCs w:val="22"/>
              </w:rPr>
              <w:t>The SPPI data are collected using a range of data collectio</w:t>
            </w:r>
            <w:r>
              <w:rPr>
                <w:sz w:val="22"/>
                <w:szCs w:val="22"/>
              </w:rPr>
              <w:t>n: self-completion of the paper questionnaire received and return the data by post or by e-mail, automated telephone data submission, personnel interview (usually for the new unit included in the sample), telephone interview, internet.</w:t>
            </w:r>
          </w:p>
          <w:p w:rsidR="00000000" w:rsidRDefault="008E0897">
            <w:pPr>
              <w:spacing w:before="30" w:after="30"/>
              <w:rPr>
                <w:sz w:val="22"/>
                <w:szCs w:val="22"/>
              </w:rPr>
            </w:pPr>
            <w:r>
              <w:rPr>
                <w:sz w:val="22"/>
                <w:szCs w:val="22"/>
              </w:rPr>
              <w:t>The recommendation f</w:t>
            </w:r>
            <w:r>
              <w:rPr>
                <w:sz w:val="22"/>
                <w:szCs w:val="22"/>
              </w:rPr>
              <w:t>or the price collectors is to have a personnel interview with reporting enterprise at list for the first month of each year.</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86" w:name="data_validation"/>
            <w:bookmarkEnd w:id="86"/>
            <w:r>
              <w:rPr>
                <w:rFonts w:eastAsia="Times New Roman"/>
                <w:b/>
                <w:bCs/>
                <w:sz w:val="22"/>
                <w:szCs w:val="22"/>
              </w:rPr>
              <w:t>18.4. Data validation</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jc w:val="both"/>
              <w:rPr>
                <w:sz w:val="22"/>
                <w:szCs w:val="22"/>
              </w:rPr>
            </w:pPr>
            <w:r>
              <w:rPr>
                <w:sz w:val="22"/>
                <w:szCs w:val="22"/>
              </w:rPr>
              <w:t>The SPPI system has a built-in module in order to diagnose data errors and checks for possible missing an</w:t>
            </w:r>
            <w:r>
              <w:rPr>
                <w:sz w:val="22"/>
                <w:szCs w:val="22"/>
              </w:rPr>
              <w:t>d critical variables. The system generates a detailed report if errors are detected.</w:t>
            </w:r>
          </w:p>
          <w:p w:rsidR="00000000" w:rsidRDefault="008E0897">
            <w:pPr>
              <w:spacing w:before="30" w:after="30"/>
              <w:jc w:val="both"/>
              <w:rPr>
                <w:sz w:val="22"/>
                <w:szCs w:val="22"/>
              </w:rPr>
            </w:pPr>
            <w:r>
              <w:rPr>
                <w:sz w:val="22"/>
                <w:szCs w:val="22"/>
              </w:rPr>
              <w:t>The SPPI system generated a report to show the availability of all the establishment data for the compiling period. The information provided in the report is a useful tool</w:t>
            </w:r>
            <w:r>
              <w:rPr>
                <w:sz w:val="22"/>
                <w:szCs w:val="22"/>
              </w:rPr>
              <w:t xml:space="preserve"> for the statistical staff at central office that can follow up any missing establishment price data and prepare for final compilation of the index.</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87" w:name="data_comp"/>
            <w:bookmarkEnd w:id="87"/>
            <w:r>
              <w:rPr>
                <w:rFonts w:eastAsia="Times New Roman"/>
                <w:b/>
                <w:bCs/>
                <w:sz w:val="22"/>
                <w:szCs w:val="22"/>
              </w:rPr>
              <w:t>18.5. Data compilation</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 xml:space="preserve">SPPI is a fixed base </w:t>
            </w:r>
            <w:proofErr w:type="spellStart"/>
            <w:r>
              <w:rPr>
                <w:sz w:val="22"/>
                <w:szCs w:val="22"/>
              </w:rPr>
              <w:t>Laspeyres</w:t>
            </w:r>
            <w:proofErr w:type="spellEnd"/>
            <w:r>
              <w:rPr>
                <w:sz w:val="22"/>
                <w:szCs w:val="22"/>
              </w:rPr>
              <w:t xml:space="preserve"> index (2015=100).</w:t>
            </w:r>
          </w:p>
          <w:p w:rsidR="00000000" w:rsidRDefault="008E0897">
            <w:pPr>
              <w:spacing w:before="30" w:after="30"/>
              <w:rPr>
                <w:sz w:val="22"/>
                <w:szCs w:val="22"/>
              </w:rPr>
            </w:pPr>
            <w:r>
              <w:rPr>
                <w:sz w:val="22"/>
                <w:szCs w:val="22"/>
              </w:rPr>
              <w:t>The weighting values for all ag</w:t>
            </w:r>
            <w:r>
              <w:rPr>
                <w:sz w:val="22"/>
                <w:szCs w:val="22"/>
              </w:rPr>
              <w:t>gregation level have been determined from Annual Business Statistical Survey and are based on turnover.</w:t>
            </w:r>
          </w:p>
          <w:p w:rsidR="00000000" w:rsidRDefault="008E0897">
            <w:pPr>
              <w:spacing w:before="30" w:after="30"/>
              <w:rPr>
                <w:sz w:val="22"/>
                <w:szCs w:val="22"/>
              </w:rPr>
            </w:pPr>
            <w:r>
              <w:rPr>
                <w:sz w:val="22"/>
                <w:szCs w:val="22"/>
              </w:rPr>
              <w:lastRenderedPageBreak/>
              <w:t>The elementary index corresponds to each detailed service declared by the enterprises (6 digits of CPA 2015 + 3 digits declared for each type of service</w:t>
            </w:r>
            <w:r>
              <w:rPr>
                <w:sz w:val="22"/>
                <w:szCs w:val="22"/>
              </w:rPr>
              <w:t>) and is calculated as the ratio between the tariff applied to each detailed service in the reference quarter and the average tariff of the base year of the same detailed service, multiplied by 100.</w:t>
            </w:r>
            <w:r>
              <w:rPr>
                <w:sz w:val="22"/>
                <w:szCs w:val="22"/>
              </w:rPr>
              <w:br/>
              <w:t>The SPPI for the upper levels, CPA 2015 class and divisio</w:t>
            </w:r>
            <w:r>
              <w:rPr>
                <w:sz w:val="22"/>
                <w:szCs w:val="22"/>
              </w:rPr>
              <w:t xml:space="preserve">n level is a </w:t>
            </w:r>
            <w:proofErr w:type="spellStart"/>
            <w:r>
              <w:rPr>
                <w:sz w:val="22"/>
                <w:szCs w:val="22"/>
              </w:rPr>
              <w:t>Laspeyres</w:t>
            </w:r>
            <w:proofErr w:type="spellEnd"/>
            <w:r>
              <w:rPr>
                <w:sz w:val="22"/>
                <w:szCs w:val="22"/>
              </w:rPr>
              <w:t xml:space="preserve"> type index, using a system of constant weights for successive data aggregation using turnover from SBS 2015.</w:t>
            </w:r>
          </w:p>
          <w:p w:rsidR="00000000" w:rsidRDefault="008E0897">
            <w:pPr>
              <w:spacing w:before="30" w:after="30"/>
              <w:rPr>
                <w:sz w:val="22"/>
                <w:szCs w:val="22"/>
              </w:rPr>
            </w:pPr>
            <w:r>
              <w:rPr>
                <w:sz w:val="22"/>
                <w:szCs w:val="22"/>
              </w:rPr>
              <w:t xml:space="preserve">SPPI is </w:t>
            </w:r>
            <w:proofErr w:type="spellStart"/>
            <w:r>
              <w:rPr>
                <w:sz w:val="22"/>
                <w:szCs w:val="22"/>
              </w:rPr>
              <w:t>coverd</w:t>
            </w:r>
            <w:proofErr w:type="spellEnd"/>
            <w:r>
              <w:rPr>
                <w:sz w:val="22"/>
                <w:szCs w:val="22"/>
              </w:rPr>
              <w:t xml:space="preserve"> B2B and B2all (using CPI).</w:t>
            </w:r>
          </w:p>
          <w:p w:rsidR="00000000" w:rsidRDefault="008E0897">
            <w:pPr>
              <w:spacing w:before="30" w:after="30"/>
              <w:rPr>
                <w:sz w:val="22"/>
                <w:szCs w:val="22"/>
              </w:rPr>
            </w:pPr>
            <w:r>
              <w:rPr>
                <w:sz w:val="22"/>
                <w:szCs w:val="22"/>
              </w:rPr>
              <w:t>The pricing methods used for telecommunication services are contract pricing and c</w:t>
            </w:r>
            <w:r>
              <w:rPr>
                <w:sz w:val="22"/>
                <w:szCs w:val="22"/>
              </w:rPr>
              <w:t>omponent pricing.</w:t>
            </w:r>
          </w:p>
          <w:p w:rsidR="00000000" w:rsidRDefault="008E0897">
            <w:pPr>
              <w:spacing w:before="30" w:after="30"/>
              <w:rPr>
                <w:sz w:val="22"/>
                <w:szCs w:val="22"/>
              </w:rPr>
            </w:pPr>
            <w:r>
              <w:rPr>
                <w:sz w:val="22"/>
                <w:szCs w:val="22"/>
              </w:rPr>
              <w:t>The SPPI NACE rev.2 for group 49.4 are calculated from wages and salaries data for 49.41 and SPPI data for 49.42.</w:t>
            </w:r>
          </w:p>
          <w:p w:rsidR="00000000" w:rsidRDefault="008E0897">
            <w:pPr>
              <w:spacing w:before="30" w:after="30"/>
              <w:rPr>
                <w:sz w:val="22"/>
                <w:szCs w:val="22"/>
              </w:rPr>
            </w:pPr>
            <w:r>
              <w:rPr>
                <w:sz w:val="22"/>
                <w:szCs w:val="22"/>
              </w:rPr>
              <w:t>Missing tariffs are imputed, usually by carrying the tariffs of the previous quarter forward. In the case when a service is permanently unavailable the reporting economic operators propose a new one, which have to correspond to the same classification leve</w:t>
            </w:r>
            <w:r>
              <w:rPr>
                <w:sz w:val="22"/>
                <w:szCs w:val="22"/>
              </w:rPr>
              <w:t>l.</w:t>
            </w:r>
          </w:p>
          <w:p w:rsidR="00000000" w:rsidRDefault="008E0897">
            <w:pPr>
              <w:spacing w:before="30" w:after="30"/>
              <w:rPr>
                <w:sz w:val="22"/>
                <w:szCs w:val="22"/>
              </w:rPr>
            </w:pPr>
            <w:r>
              <w:rPr>
                <w:sz w:val="22"/>
                <w:szCs w:val="22"/>
              </w:rPr>
              <w:t>The sample results are not grossed-up.</w:t>
            </w:r>
          </w:p>
        </w:tc>
        <w:tc>
          <w:tcPr>
            <w:tcW w:w="0" w:type="auto"/>
            <w:vAlign w:val="center"/>
            <w:hideMark/>
          </w:tcPr>
          <w:p w:rsidR="00000000" w:rsidRDefault="008E0897">
            <w:pPr>
              <w:rPr>
                <w:rFonts w:eastAsia="Times New Roman"/>
                <w:sz w:val="20"/>
                <w:szCs w:val="20"/>
              </w:rPr>
            </w:pPr>
          </w:p>
        </w:tc>
      </w:tr>
      <w:tr w:rsidR="00000000">
        <w:trPr>
          <w:divId w:val="373576125"/>
        </w:trPr>
        <w:tc>
          <w:tcPr>
            <w:tcW w:w="0" w:type="auto"/>
            <w:tcBorders>
              <w:top w:val="single" w:sz="8" w:space="0" w:color="000000"/>
              <w:left w:val="single" w:sz="8" w:space="0" w:color="000000"/>
              <w:bottom w:val="single" w:sz="8" w:space="0" w:color="000000"/>
              <w:right w:val="single" w:sz="8" w:space="0" w:color="000000"/>
            </w:tcBorders>
            <w:shd w:val="clear" w:color="auto" w:fill="FFFFCC"/>
            <w:tcMar>
              <w:top w:w="20" w:type="dxa"/>
              <w:left w:w="129" w:type="dxa"/>
              <w:bottom w:w="20" w:type="dxa"/>
              <w:right w:w="129" w:type="dxa"/>
            </w:tcMar>
            <w:hideMark/>
          </w:tcPr>
          <w:p w:rsidR="00000000" w:rsidRDefault="008E0897">
            <w:pPr>
              <w:rPr>
                <w:rFonts w:eastAsia="Times New Roman"/>
                <w:b/>
                <w:bCs/>
                <w:sz w:val="22"/>
                <w:szCs w:val="22"/>
              </w:rPr>
            </w:pPr>
            <w:bookmarkStart w:id="88" w:name="adjustment"/>
            <w:bookmarkEnd w:id="88"/>
            <w:r>
              <w:rPr>
                <w:rFonts w:eastAsia="Times New Roman"/>
                <w:b/>
                <w:bCs/>
                <w:sz w:val="22"/>
                <w:szCs w:val="22"/>
              </w:rPr>
              <w:t>18.6. Adjustment</w:t>
            </w:r>
          </w:p>
        </w:tc>
        <w:tc>
          <w:tcPr>
            <w:tcW w:w="0" w:type="auto"/>
            <w:vAlign w:val="center"/>
            <w:hideMark/>
          </w:tcPr>
          <w:p w:rsidR="00000000" w:rsidRDefault="008E0897">
            <w:pPr>
              <w:rPr>
                <w:rFonts w:eastAsia="Times New Roman"/>
                <w:sz w:val="20"/>
                <w:szCs w:val="20"/>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 xml:space="preserve">No working day adjustment </w:t>
            </w:r>
            <w:proofErr w:type="spellStart"/>
            <w:r>
              <w:rPr>
                <w:sz w:val="22"/>
                <w:szCs w:val="22"/>
              </w:rPr>
              <w:t>or</w:t>
            </w:r>
            <w:proofErr w:type="spellEnd"/>
            <w:r>
              <w:rPr>
                <w:sz w:val="22"/>
                <w:szCs w:val="22"/>
              </w:rPr>
              <w:t xml:space="preserve"> seasonal adjustment is applied.</w:t>
            </w:r>
          </w:p>
        </w:tc>
        <w:tc>
          <w:tcPr>
            <w:tcW w:w="0" w:type="auto"/>
            <w:vAlign w:val="center"/>
            <w:hideMark/>
          </w:tcPr>
          <w:p w:rsidR="00000000" w:rsidRDefault="008E0897">
            <w:pPr>
              <w:rPr>
                <w:rFonts w:eastAsia="Times New Roman"/>
                <w:sz w:val="20"/>
                <w:szCs w:val="20"/>
              </w:rPr>
            </w:pPr>
          </w:p>
        </w:tc>
      </w:tr>
    </w:tbl>
    <w:p w:rsidR="00000000" w:rsidRDefault="008E0897">
      <w:pPr>
        <w:pStyle w:val="doccommon1"/>
        <w:shd w:val="clear" w:color="auto" w:fill="FFFFFF"/>
        <w:divId w:val="373576125"/>
      </w:pPr>
    </w:p>
    <w:tbl>
      <w:tblPr>
        <w:tblW w:w="4950" w:type="pct"/>
        <w:tblCellMar>
          <w:left w:w="0" w:type="dxa"/>
          <w:right w:w="0" w:type="dxa"/>
        </w:tblCellMar>
        <w:tblLook w:val="04A0" w:firstRow="1" w:lastRow="0" w:firstColumn="1" w:lastColumn="0" w:noHBand="0" w:noVBand="1"/>
      </w:tblPr>
      <w:tblGrid>
        <w:gridCol w:w="8851"/>
        <w:gridCol w:w="110"/>
      </w:tblGrid>
      <w:tr w:rsidR="00000000">
        <w:trPr>
          <w:divId w:val="3735761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290"/>
              <w:gridCol w:w="1413"/>
            </w:tblGrid>
            <w:tr w:rsidR="00000000">
              <w:trPr>
                <w:tblCellSpacing w:w="0" w:type="dxa"/>
              </w:trPr>
              <w:tc>
                <w:tcPr>
                  <w:tcW w:w="0" w:type="auto"/>
                  <w:vAlign w:val="center"/>
                  <w:hideMark/>
                </w:tcPr>
                <w:p w:rsidR="00000000" w:rsidRDefault="008E0897">
                  <w:pPr>
                    <w:rPr>
                      <w:rFonts w:eastAsia="Times New Roman"/>
                      <w:b/>
                      <w:bCs/>
                      <w:sz w:val="32"/>
                      <w:szCs w:val="32"/>
                    </w:rPr>
                  </w:pPr>
                  <w:bookmarkStart w:id="89" w:name="comment_dset1633422758528"/>
                  <w:bookmarkStart w:id="90" w:name="comment_dset"/>
                  <w:bookmarkEnd w:id="89"/>
                  <w:bookmarkEnd w:id="90"/>
                  <w:r>
                    <w:rPr>
                      <w:rFonts w:eastAsia="Times New Roman"/>
                      <w:b/>
                      <w:bCs/>
                      <w:sz w:val="32"/>
                      <w:szCs w:val="32"/>
                    </w:rPr>
                    <w:t>19. Comment</w:t>
                  </w:r>
                </w:p>
              </w:tc>
              <w:tc>
                <w:tcPr>
                  <w:tcW w:w="0" w:type="auto"/>
                  <w:vAlign w:val="center"/>
                  <w:hideMark/>
                </w:tcPr>
                <w:p w:rsidR="00000000" w:rsidRDefault="008E0897">
                  <w:pPr>
                    <w:jc w:val="right"/>
                    <w:rPr>
                      <w:rFonts w:eastAsia="Times New Roman"/>
                    </w:rPr>
                  </w:pPr>
                  <w:hyperlink w:history="1">
                    <w:r>
                      <w:rPr>
                        <w:rFonts w:eastAsia="Times New Roman"/>
                        <w:color w:val="0F4BA0"/>
                        <w:sz w:val="22"/>
                        <w:szCs w:val="22"/>
                        <w:u w:val="single"/>
                      </w:rPr>
                      <w:t>Top</w:t>
                    </w:r>
                  </w:hyperlink>
                </w:p>
              </w:tc>
            </w:tr>
          </w:tbl>
          <w:p w:rsidR="00000000" w:rsidRDefault="008E0897">
            <w:pPr>
              <w:rPr>
                <w:rFonts w:eastAsia="Times New Roman"/>
                <w:b/>
                <w:bCs/>
                <w:color w:val="000000"/>
                <w:sz w:val="32"/>
                <w:szCs w:val="32"/>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spacing w:before="30" w:after="30"/>
              <w:rPr>
                <w:sz w:val="22"/>
                <w:szCs w:val="22"/>
              </w:rPr>
            </w:pPr>
            <w:r>
              <w:rPr>
                <w:sz w:val="22"/>
                <w:szCs w:val="22"/>
              </w:rPr>
              <w:t>Not available.</w:t>
            </w:r>
          </w:p>
        </w:tc>
        <w:tc>
          <w:tcPr>
            <w:tcW w:w="0" w:type="auto"/>
            <w:vAlign w:val="center"/>
            <w:hideMark/>
          </w:tcPr>
          <w:p w:rsidR="00000000" w:rsidRDefault="008E0897">
            <w:pPr>
              <w:rPr>
                <w:rFonts w:eastAsia="Times New Roman"/>
                <w:sz w:val="20"/>
                <w:szCs w:val="20"/>
              </w:rPr>
            </w:pPr>
          </w:p>
        </w:tc>
      </w:tr>
    </w:tbl>
    <w:p w:rsidR="00000000" w:rsidRDefault="008E0897">
      <w:pPr>
        <w:pStyle w:val="doccommon1"/>
        <w:shd w:val="clear" w:color="auto" w:fill="FFFFFF"/>
        <w:divId w:val="373576125"/>
      </w:pPr>
    </w:p>
    <w:tbl>
      <w:tblPr>
        <w:tblW w:w="4950" w:type="pct"/>
        <w:tblCellMar>
          <w:left w:w="0" w:type="dxa"/>
          <w:right w:w="0" w:type="dxa"/>
        </w:tblCellMar>
        <w:tblLook w:val="04A0" w:firstRow="1" w:lastRow="0" w:firstColumn="1" w:lastColumn="0" w:noHBand="0" w:noVBand="1"/>
      </w:tblPr>
      <w:tblGrid>
        <w:gridCol w:w="8451"/>
        <w:gridCol w:w="510"/>
      </w:tblGrid>
      <w:tr w:rsidR="00000000">
        <w:trPr>
          <w:divId w:val="3735761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7585"/>
              <w:gridCol w:w="1118"/>
            </w:tblGrid>
            <w:tr w:rsidR="00000000">
              <w:trPr>
                <w:tblCellSpacing w:w="0" w:type="dxa"/>
              </w:trPr>
              <w:tc>
                <w:tcPr>
                  <w:tcW w:w="0" w:type="auto"/>
                  <w:vAlign w:val="center"/>
                  <w:hideMark/>
                </w:tcPr>
                <w:p w:rsidR="00000000" w:rsidRDefault="008E0897">
                  <w:pPr>
                    <w:rPr>
                      <w:rFonts w:eastAsia="Times New Roman"/>
                      <w:b/>
                      <w:bCs/>
                      <w:sz w:val="32"/>
                      <w:szCs w:val="32"/>
                    </w:rPr>
                  </w:pPr>
                  <w:bookmarkStart w:id="91" w:name="relatedmd1633422758528"/>
                  <w:bookmarkStart w:id="92" w:name="relatedmd"/>
                  <w:bookmarkEnd w:id="91"/>
                  <w:bookmarkEnd w:id="92"/>
                  <w:r>
                    <w:rPr>
                      <w:rFonts w:eastAsia="Times New Roman"/>
                      <w:b/>
                      <w:bCs/>
                      <w:sz w:val="32"/>
                      <w:szCs w:val="32"/>
                    </w:rPr>
                    <w:t>Related metadata</w:t>
                  </w:r>
                </w:p>
              </w:tc>
              <w:tc>
                <w:tcPr>
                  <w:tcW w:w="0" w:type="auto"/>
                  <w:vAlign w:val="center"/>
                  <w:hideMark/>
                </w:tcPr>
                <w:p w:rsidR="00000000" w:rsidRDefault="008E0897">
                  <w:pPr>
                    <w:jc w:val="right"/>
                    <w:rPr>
                      <w:rFonts w:eastAsia="Times New Roman"/>
                    </w:rPr>
                  </w:pPr>
                  <w:hyperlink w:history="1">
                    <w:r>
                      <w:rPr>
                        <w:rFonts w:eastAsia="Times New Roman"/>
                        <w:color w:val="0F4BA0"/>
                        <w:sz w:val="22"/>
                        <w:szCs w:val="22"/>
                        <w:u w:val="single"/>
                      </w:rPr>
                      <w:t>Top</w:t>
                    </w:r>
                  </w:hyperlink>
                </w:p>
              </w:tc>
            </w:tr>
          </w:tbl>
          <w:p w:rsidR="00000000" w:rsidRDefault="008E0897">
            <w:pPr>
              <w:rPr>
                <w:rFonts w:eastAsia="Times New Roman"/>
                <w:b/>
                <w:bCs/>
                <w:color w:val="000000"/>
                <w:sz w:val="32"/>
                <w:szCs w:val="32"/>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rPr>
                <w:rFonts w:eastAsia="Times New Roman"/>
                <w:sz w:val="20"/>
                <w:szCs w:val="20"/>
              </w:rPr>
            </w:pPr>
          </w:p>
        </w:tc>
        <w:tc>
          <w:tcPr>
            <w:tcW w:w="0" w:type="auto"/>
            <w:vAlign w:val="center"/>
            <w:hideMark/>
          </w:tcPr>
          <w:p w:rsidR="00000000" w:rsidRDefault="008E0897">
            <w:pPr>
              <w:rPr>
                <w:rFonts w:eastAsia="Times New Roman"/>
                <w:sz w:val="20"/>
                <w:szCs w:val="20"/>
              </w:rPr>
            </w:pPr>
          </w:p>
        </w:tc>
      </w:tr>
    </w:tbl>
    <w:p w:rsidR="00000000" w:rsidRDefault="008E0897">
      <w:pPr>
        <w:pStyle w:val="doccommon1"/>
        <w:shd w:val="clear" w:color="auto" w:fill="FFFFFF"/>
        <w:divId w:val="373576125"/>
      </w:pPr>
    </w:p>
    <w:tbl>
      <w:tblPr>
        <w:tblW w:w="4950" w:type="pct"/>
        <w:tblCellMar>
          <w:left w:w="0" w:type="dxa"/>
          <w:right w:w="0" w:type="dxa"/>
        </w:tblCellMar>
        <w:tblLook w:val="04A0" w:firstRow="1" w:lastRow="0" w:firstColumn="1" w:lastColumn="0" w:noHBand="0" w:noVBand="1"/>
      </w:tblPr>
      <w:tblGrid>
        <w:gridCol w:w="8449"/>
        <w:gridCol w:w="512"/>
      </w:tblGrid>
      <w:tr w:rsidR="00000000">
        <w:trPr>
          <w:divId w:val="3735761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CC99"/>
            <w:tcMar>
              <w:top w:w="40" w:type="dxa"/>
              <w:left w:w="129" w:type="dxa"/>
              <w:bottom w:w="40" w:type="dxa"/>
              <w:right w:w="129" w:type="dxa"/>
            </w:tcMar>
            <w:hideMark/>
          </w:tcPr>
          <w:tbl>
            <w:tblPr>
              <w:tblW w:w="5000" w:type="pct"/>
              <w:tblCellSpacing w:w="0" w:type="dxa"/>
              <w:tblCellMar>
                <w:left w:w="0" w:type="dxa"/>
                <w:right w:w="0" w:type="dxa"/>
              </w:tblCellMar>
              <w:tblLook w:val="04A0" w:firstRow="1" w:lastRow="0" w:firstColumn="1" w:lastColumn="0" w:noHBand="0" w:noVBand="1"/>
            </w:tblPr>
            <w:tblGrid>
              <w:gridCol w:w="6658"/>
              <w:gridCol w:w="2045"/>
            </w:tblGrid>
            <w:tr w:rsidR="00000000">
              <w:trPr>
                <w:tblCellSpacing w:w="0" w:type="dxa"/>
              </w:trPr>
              <w:tc>
                <w:tcPr>
                  <w:tcW w:w="0" w:type="auto"/>
                  <w:vAlign w:val="center"/>
                  <w:hideMark/>
                </w:tcPr>
                <w:p w:rsidR="00000000" w:rsidRDefault="008E0897">
                  <w:pPr>
                    <w:rPr>
                      <w:rFonts w:eastAsia="Times New Roman"/>
                      <w:b/>
                      <w:bCs/>
                      <w:sz w:val="32"/>
                      <w:szCs w:val="32"/>
                    </w:rPr>
                  </w:pPr>
                  <w:bookmarkStart w:id="93" w:name="annex1633422758528"/>
                  <w:bookmarkStart w:id="94" w:name="annex"/>
                  <w:bookmarkEnd w:id="93"/>
                  <w:bookmarkEnd w:id="94"/>
                  <w:r>
                    <w:rPr>
                      <w:rFonts w:eastAsia="Times New Roman"/>
                      <w:b/>
                      <w:bCs/>
                      <w:sz w:val="32"/>
                      <w:szCs w:val="32"/>
                    </w:rPr>
                    <w:t>Annexes</w:t>
                  </w:r>
                </w:p>
              </w:tc>
              <w:tc>
                <w:tcPr>
                  <w:tcW w:w="0" w:type="auto"/>
                  <w:vAlign w:val="center"/>
                  <w:hideMark/>
                </w:tcPr>
                <w:p w:rsidR="00000000" w:rsidRDefault="008E0897">
                  <w:pPr>
                    <w:jc w:val="right"/>
                    <w:rPr>
                      <w:rFonts w:eastAsia="Times New Roman"/>
                    </w:rPr>
                  </w:pPr>
                  <w:hyperlink w:history="1">
                    <w:r>
                      <w:rPr>
                        <w:rFonts w:eastAsia="Times New Roman"/>
                        <w:color w:val="0F4BA0"/>
                        <w:sz w:val="22"/>
                        <w:szCs w:val="22"/>
                        <w:u w:val="single"/>
                      </w:rPr>
                      <w:t>Top</w:t>
                    </w:r>
                  </w:hyperlink>
                </w:p>
              </w:tc>
            </w:tr>
          </w:tbl>
          <w:p w:rsidR="00000000" w:rsidRDefault="008E0897">
            <w:pPr>
              <w:rPr>
                <w:rFonts w:eastAsia="Times New Roman"/>
                <w:b/>
                <w:bCs/>
                <w:color w:val="000000"/>
                <w:sz w:val="32"/>
                <w:szCs w:val="32"/>
              </w:rPr>
            </w:pPr>
          </w:p>
        </w:tc>
      </w:tr>
      <w:tr w:rsidR="00000000">
        <w:trPr>
          <w:divId w:val="373576125"/>
          <w:trHeight w:val="300"/>
        </w:trPr>
        <w:tc>
          <w:tcPr>
            <w:tcW w:w="0" w:type="auto"/>
            <w:tcBorders>
              <w:top w:val="single" w:sz="8" w:space="0" w:color="000000"/>
              <w:left w:val="single" w:sz="8" w:space="0" w:color="000000"/>
              <w:bottom w:val="single" w:sz="8" w:space="0" w:color="000000"/>
              <w:right w:val="single" w:sz="8" w:space="0" w:color="000000"/>
            </w:tcBorders>
            <w:tcMar>
              <w:top w:w="20" w:type="dxa"/>
              <w:left w:w="129" w:type="dxa"/>
              <w:bottom w:w="20" w:type="dxa"/>
              <w:right w:w="129" w:type="dxa"/>
            </w:tcMar>
            <w:hideMark/>
          </w:tcPr>
          <w:p w:rsidR="00000000" w:rsidRDefault="008E0897">
            <w:pPr>
              <w:rPr>
                <w:rFonts w:eastAsia="Times New Roman"/>
                <w:sz w:val="20"/>
                <w:szCs w:val="20"/>
              </w:rPr>
            </w:pPr>
          </w:p>
        </w:tc>
        <w:tc>
          <w:tcPr>
            <w:tcW w:w="0" w:type="auto"/>
            <w:vAlign w:val="center"/>
            <w:hideMark/>
          </w:tcPr>
          <w:p w:rsidR="00000000" w:rsidRDefault="008E0897">
            <w:pPr>
              <w:rPr>
                <w:rFonts w:eastAsia="Times New Roman"/>
                <w:sz w:val="20"/>
                <w:szCs w:val="20"/>
              </w:rPr>
            </w:pPr>
          </w:p>
        </w:tc>
      </w:tr>
    </w:tbl>
    <w:p w:rsidR="008E0897" w:rsidRDefault="008E0897">
      <w:pPr>
        <w:divId w:val="373576125"/>
        <w:rPr>
          <w:rFonts w:eastAsia="Times New Roman"/>
        </w:rPr>
      </w:pPr>
    </w:p>
    <w:sectPr w:rsidR="008E089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7D1E"/>
    <w:multiLevelType w:val="multilevel"/>
    <w:tmpl w:val="647A0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016E55"/>
    <w:multiLevelType w:val="multilevel"/>
    <w:tmpl w:val="E6CC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F39F8"/>
    <w:multiLevelType w:val="multilevel"/>
    <w:tmpl w:val="3F5A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C5AD2"/>
    <w:rsid w:val="008C5AD2"/>
    <w:rsid w:val="008E0897"/>
  </w:rsids>
  <m:mathPr>
    <m:mathFont m:val="Cambria Math"/>
    <m:brkBin m:val="before"/>
    <m:brkBinSub m:val="--"/>
    <m:smallFrac m:val="0"/>
    <m:dispDef/>
    <m:lMargin m:val="0"/>
    <m:rMargin m:val="0"/>
    <m:defJc m:val="centerGroup"/>
    <m:wrapIndent m:val="1440"/>
    <m:intLim m:val="subSup"/>
    <m:naryLim m:val="undOvr"/>
  </m:mathPr>
  <w:attachedSchema w:val="http://www.SDMX.org/resources/SDMXML/schemas/v2_0/common"/>
  <w:attachedSchema w:val="http://www.SDMX.org/resources/SDMXML/schemas/v2_0/genericmetadata"/>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3F86B"/>
  <w15:chartTrackingRefBased/>
  <w15:docId w15:val="{AD5937C7-4E03-42B9-BF20-F5617903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doccommon">
    <w:name w:val="doccommon"/>
    <w:basedOn w:val="Normal"/>
    <w:rPr>
      <w:sz w:val="22"/>
      <w:szCs w:val="22"/>
    </w:rPr>
  </w:style>
  <w:style w:type="paragraph" w:styleId="NormalWeb">
    <w:name w:val="Normal (Web)"/>
    <w:basedOn w:val="Normal"/>
    <w:uiPriority w:val="99"/>
    <w:semiHidden/>
    <w:unhideWhenUsed/>
    <w:pPr>
      <w:spacing w:before="100" w:beforeAutospacing="1" w:after="100" w:afterAutospacing="1"/>
    </w:pPr>
  </w:style>
  <w:style w:type="paragraph" w:customStyle="1" w:styleId="section1">
    <w:name w:val="section1"/>
    <w:basedOn w:val="Normal"/>
    <w:pPr>
      <w:shd w:val="clear" w:color="auto" w:fill="FFFFFF"/>
      <w:spacing w:before="100" w:beforeAutospacing="1" w:after="100" w:afterAutospacing="1"/>
    </w:pPr>
  </w:style>
  <w:style w:type="paragraph" w:customStyle="1" w:styleId="heading">
    <w:name w:val="heading"/>
    <w:basedOn w:val="Normal"/>
    <w:pPr>
      <w:shd w:val="clear" w:color="auto" w:fill="FFCC99"/>
      <w:jc w:val="center"/>
    </w:pPr>
    <w:rPr>
      <w:color w:val="000000"/>
      <w:sz w:val="26"/>
      <w:szCs w:val="26"/>
    </w:rPr>
  </w:style>
  <w:style w:type="paragraph" w:customStyle="1" w:styleId="tblbottom">
    <w:name w:val="tblbottom"/>
    <w:basedOn w:val="Normal"/>
    <w:pPr>
      <w:spacing w:before="100" w:beforeAutospacing="1" w:after="100" w:afterAutospacing="1"/>
    </w:pPr>
  </w:style>
  <w:style w:type="paragraph" w:customStyle="1" w:styleId="cl-level1">
    <w:name w:val="cl-level1"/>
    <w:basedOn w:val="Normal"/>
    <w:pPr>
      <w:pBdr>
        <w:top w:val="single" w:sz="8" w:space="2" w:color="000000"/>
        <w:left w:val="single" w:sz="8" w:space="6" w:color="000000"/>
        <w:bottom w:val="single" w:sz="8" w:space="2" w:color="000000"/>
        <w:right w:val="single" w:sz="8" w:space="6" w:color="000000"/>
      </w:pBdr>
      <w:shd w:val="clear" w:color="auto" w:fill="FFCC99"/>
      <w:textAlignment w:val="top"/>
    </w:pPr>
    <w:rPr>
      <w:b/>
      <w:bCs/>
      <w:color w:val="000000"/>
      <w:sz w:val="32"/>
      <w:szCs w:val="32"/>
    </w:rPr>
  </w:style>
  <w:style w:type="paragraph" w:customStyle="1" w:styleId="cl-level1-noborder">
    <w:name w:val="cl-level1-noborder"/>
    <w:basedOn w:val="Normal"/>
    <w:rPr>
      <w:b/>
      <w:bCs/>
      <w:sz w:val="32"/>
      <w:szCs w:val="32"/>
    </w:rPr>
  </w:style>
  <w:style w:type="paragraph" w:customStyle="1" w:styleId="cl-level2">
    <w:name w:val="cl-level2"/>
    <w:basedOn w:val="Normal"/>
    <w:pPr>
      <w:pBdr>
        <w:top w:val="single" w:sz="8" w:space="1" w:color="000000"/>
        <w:left w:val="single" w:sz="8" w:space="6" w:color="000000"/>
        <w:bottom w:val="single" w:sz="8" w:space="1" w:color="000000"/>
        <w:right w:val="single" w:sz="8" w:space="6" w:color="000000"/>
      </w:pBdr>
      <w:shd w:val="clear" w:color="auto" w:fill="FFFFCC"/>
      <w:spacing w:before="100" w:beforeAutospacing="1" w:after="100" w:afterAutospacing="1"/>
      <w:textAlignment w:val="top"/>
    </w:pPr>
    <w:rPr>
      <w:b/>
      <w:bCs/>
      <w:sz w:val="22"/>
      <w:szCs w:val="22"/>
    </w:rPr>
  </w:style>
  <w:style w:type="paragraph" w:customStyle="1" w:styleId="cl-level3">
    <w:name w:val="cl-level3"/>
    <w:basedOn w:val="Normal"/>
    <w:pPr>
      <w:pBdr>
        <w:top w:val="single" w:sz="8" w:space="1" w:color="000000"/>
        <w:left w:val="single" w:sz="8" w:space="25" w:color="000000"/>
        <w:bottom w:val="single" w:sz="8" w:space="1" w:color="000000"/>
        <w:right w:val="single" w:sz="8" w:space="6" w:color="000000"/>
      </w:pBdr>
      <w:shd w:val="clear" w:color="auto" w:fill="FFFFDD"/>
      <w:spacing w:before="100" w:beforeAutospacing="1" w:after="100" w:afterAutospacing="1"/>
      <w:textAlignment w:val="top"/>
    </w:pPr>
    <w:rPr>
      <w:b/>
      <w:bCs/>
      <w:sz w:val="22"/>
      <w:szCs w:val="22"/>
    </w:rPr>
  </w:style>
  <w:style w:type="paragraph" w:customStyle="1" w:styleId="cl-level4">
    <w:name w:val="cl-level4"/>
    <w:basedOn w:val="Normal"/>
    <w:pPr>
      <w:pBdr>
        <w:top w:val="single" w:sz="8" w:space="1" w:color="000000"/>
        <w:left w:val="single" w:sz="8" w:space="25" w:color="000000"/>
        <w:bottom w:val="single" w:sz="8" w:space="1" w:color="000000"/>
        <w:right w:val="single" w:sz="8" w:space="6" w:color="000000"/>
      </w:pBdr>
      <w:shd w:val="clear" w:color="auto" w:fill="FFFFDD"/>
      <w:spacing w:before="100" w:beforeAutospacing="1" w:after="100" w:afterAutospacing="1"/>
      <w:textAlignment w:val="top"/>
    </w:pPr>
    <w:rPr>
      <w:b/>
      <w:bCs/>
      <w:sz w:val="22"/>
      <w:szCs w:val="22"/>
    </w:rPr>
  </w:style>
  <w:style w:type="paragraph" w:customStyle="1" w:styleId="cl-content">
    <w:name w:val="cl-content"/>
    <w:basedOn w:val="Normal"/>
    <w:pPr>
      <w:pBdr>
        <w:top w:val="single" w:sz="8" w:space="1" w:color="000000"/>
        <w:left w:val="single" w:sz="8" w:space="6" w:color="000000"/>
        <w:bottom w:val="single" w:sz="8" w:space="1" w:color="000000"/>
        <w:right w:val="single" w:sz="8" w:space="6" w:color="000000"/>
      </w:pBdr>
      <w:spacing w:before="100" w:beforeAutospacing="1" w:after="100" w:afterAutospacing="1"/>
      <w:textAlignment w:val="top"/>
    </w:pPr>
    <w:rPr>
      <w:sz w:val="22"/>
      <w:szCs w:val="22"/>
    </w:rPr>
  </w:style>
  <w:style w:type="paragraph" w:customStyle="1" w:styleId="annexeshead">
    <w:name w:val="annexeshead"/>
    <w:basedOn w:val="Normal"/>
    <w:pPr>
      <w:spacing w:before="100" w:beforeAutospacing="1" w:after="100" w:afterAutospacing="1"/>
    </w:pPr>
    <w:rPr>
      <w:b/>
      <w:bCs/>
      <w:sz w:val="26"/>
      <w:szCs w:val="26"/>
    </w:rPr>
  </w:style>
  <w:style w:type="paragraph" w:customStyle="1" w:styleId="padding-10">
    <w:name w:val="padding-10"/>
    <w:basedOn w:val="Normal"/>
    <w:pPr>
      <w:spacing w:before="100" w:beforeAutospacing="1" w:after="100" w:afterAutospacing="1"/>
    </w:pPr>
  </w:style>
  <w:style w:type="paragraph" w:customStyle="1" w:styleId="relatedmdbox">
    <w:name w:val="relatedmdbox"/>
    <w:basedOn w:val="Normal"/>
    <w:pPr>
      <w:spacing w:before="100" w:beforeAutospacing="1" w:after="100" w:afterAutospacing="1"/>
      <w:ind w:right="150"/>
    </w:pPr>
  </w:style>
  <w:style w:type="paragraph" w:customStyle="1" w:styleId="heading1">
    <w:name w:val="heading1"/>
    <w:basedOn w:val="Normal"/>
    <w:pPr>
      <w:shd w:val="clear" w:color="auto" w:fill="FFCC99"/>
      <w:jc w:val="center"/>
    </w:pPr>
    <w:rPr>
      <w:color w:val="000000"/>
      <w:sz w:val="26"/>
      <w:szCs w:val="26"/>
    </w:rPr>
  </w:style>
  <w:style w:type="paragraph" w:customStyle="1" w:styleId="doccommon1">
    <w:name w:val="doccommon1"/>
    <w:basedOn w:val="Normal"/>
    <w:pPr>
      <w:spacing w:before="30" w:after="30"/>
    </w:pPr>
    <w:rPr>
      <w:sz w:val="22"/>
      <w:szCs w:val="2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7612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estat-navtree-portlet-prod/BulkDownloadListing?file=metadata/sts_os_pp_esms_ro.sdmx.zip" TargetMode="External"/><Relationship Id="rId13" Type="http://schemas.openxmlformats.org/officeDocument/2006/relationships/hyperlink" Target="http://www.insse.ro/cms/sites/default/files/field/publicatii/analiza_gradului_de_satisfactie_al_utilizatorilor_2018.pdf" TargetMode="External"/><Relationship Id="rId3" Type="http://schemas.openxmlformats.org/officeDocument/2006/relationships/settings" Target="settings.xml"/><Relationship Id="rId7" Type="http://schemas.openxmlformats.org/officeDocument/2006/relationships/hyperlink" Target="http://ec.europa.eu/eurostat/help/support" TargetMode="External"/><Relationship Id="rId12" Type="http://schemas.openxmlformats.org/officeDocument/2006/relationships/hyperlink" Target="http://www.insse.ro/cms/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ec.europa.eu/eurostat/cache/metadata/img/ro.jpg" TargetMode="External"/><Relationship Id="rId11" Type="http://schemas.openxmlformats.org/officeDocument/2006/relationships/hyperlink" Target="http://eur-lex.europa.eu/LexUriServ/LexUriServ.do?uri=CELEX:32006R1893:EN:NOT" TargetMode="External"/><Relationship Id="rId5" Type="http://schemas.openxmlformats.org/officeDocument/2006/relationships/image" Target="http://ec.europa.eu/eurostat/cache/metadata/img/estat_ce-05.GIF" TargetMode="External"/><Relationship Id="rId15" Type="http://schemas.openxmlformats.org/officeDocument/2006/relationships/fontTable" Target="fontTable.xml"/><Relationship Id="rId10" Type="http://schemas.openxmlformats.org/officeDocument/2006/relationships/hyperlink" Target="http://eur-lex.europa.eu/LexUriServ/LexUriServ.do?uri=CELEX:32005R1158:EN:NOT" TargetMode="External"/><Relationship Id="rId4" Type="http://schemas.openxmlformats.org/officeDocument/2006/relationships/webSettings" Target="webSettings.xml"/><Relationship Id="rId9" Type="http://schemas.openxmlformats.org/officeDocument/2006/relationships/hyperlink" Target="http://eur-lex.europa.eu/LexUriServ/LexUriServ.do?uri=CELEX:31998R1165:EN:NOT" TargetMode="External"/><Relationship Id="rId14" Type="http://schemas.openxmlformats.org/officeDocument/2006/relationships/hyperlink" Target="http://www.insse.ro/cms/en/content/revis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2942</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Service producer prices (SPPI) (sts_os_pp)</vt:lpstr>
    </vt:vector>
  </TitlesOfParts>
  <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producer prices (SPPI) (sts_os_pp)</dc:title>
  <dc:subject/>
  <dc:creator>Liliana Rodica Vladu</dc:creator>
  <cp:keywords/>
  <dc:description/>
  <cp:lastModifiedBy>Liliana Rodica Vladu</cp:lastModifiedBy>
  <cp:revision>2</cp:revision>
  <dcterms:created xsi:type="dcterms:W3CDTF">2021-11-09T08:12:00Z</dcterms:created>
  <dcterms:modified xsi:type="dcterms:W3CDTF">2021-11-09T08:12:00Z</dcterms:modified>
</cp:coreProperties>
</file>