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320"/>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5"/>
        <w:gridCol w:w="5755"/>
        <w:gridCol w:w="1858"/>
      </w:tblGrid>
      <w:tr w:rsidR="00832C90" w:rsidRPr="0038436D" w:rsidTr="005400D1">
        <w:trPr>
          <w:divId w:val="530731735"/>
          <w:trHeight w:val="758"/>
        </w:trPr>
        <w:tc>
          <w:tcPr>
            <w:tcW w:w="0" w:type="auto"/>
          </w:tcPr>
          <w:p w:rsidR="00832C90" w:rsidRPr="0038436D" w:rsidRDefault="00304996" w:rsidP="005400D1">
            <w:pPr>
              <w:rPr>
                <w:rFonts w:ascii="Bookman Old Style" w:hAnsi="Bookman Old Style" w:cs="Tahoma"/>
                <w:lang w:val="en-GB"/>
              </w:rPr>
            </w:pPr>
            <w:r>
              <w:rPr>
                <w:rFonts w:ascii="Bookman Old Style" w:hAnsi="Bookman Old Style" w:cs="Tahoma"/>
                <w:lang w:val="en-GB"/>
              </w:rPr>
              <w:fldChar w:fldCharType="begin"/>
            </w:r>
            <w:r>
              <w:rPr>
                <w:rFonts w:ascii="Bookman Old Style" w:hAnsi="Bookman Old Style" w:cs="Tahoma"/>
                <w:lang w:val="en-GB"/>
              </w:rPr>
              <w:instrText xml:space="preserve"> INCLUDEPICTURE  "http://ec.europa.eu/eurostat/cache/metadata/img/estat_ce-05.GIF" \* MERGEFORMATINET </w:instrText>
            </w:r>
            <w:r>
              <w:rPr>
                <w:rFonts w:ascii="Bookman Old Style" w:hAnsi="Bookman Old Style" w:cs="Tahoma"/>
                <w:lang w:val="en-GB"/>
              </w:rPr>
              <w:fldChar w:fldCharType="separate"/>
            </w:r>
            <w:r w:rsidR="006361D2">
              <w:rPr>
                <w:rFonts w:ascii="Bookman Old Style" w:hAnsi="Bookman Old Style" w:cs="Tahoma"/>
                <w:lang w:val="en-GB"/>
              </w:rPr>
              <w:fldChar w:fldCharType="begin"/>
            </w:r>
            <w:r w:rsidR="006361D2">
              <w:rPr>
                <w:rFonts w:ascii="Bookman Old Style" w:hAnsi="Bookman Old Style" w:cs="Tahoma"/>
                <w:lang w:val="en-GB"/>
              </w:rPr>
              <w:instrText xml:space="preserve"> INCLUDEPICTURE  "http://ec.europa.eu/eurostat/cache/metadata/img/estat_ce-05.GIF" \* MERGEFORMATINET </w:instrText>
            </w:r>
            <w:r w:rsidR="006361D2">
              <w:rPr>
                <w:rFonts w:ascii="Bookman Old Style" w:hAnsi="Bookman Old Style" w:cs="Tahoma"/>
                <w:lang w:val="en-GB"/>
              </w:rPr>
              <w:fldChar w:fldCharType="separate"/>
            </w:r>
            <w:r w:rsidR="00A374CC">
              <w:rPr>
                <w:rFonts w:ascii="Bookman Old Style" w:hAnsi="Bookman Old Style" w:cs="Tahoma"/>
                <w:lang w:val="en-GB"/>
              </w:rPr>
              <w:fldChar w:fldCharType="begin"/>
            </w:r>
            <w:r w:rsidR="00A374CC">
              <w:rPr>
                <w:rFonts w:ascii="Bookman Old Style" w:hAnsi="Bookman Old Style" w:cs="Tahoma"/>
                <w:lang w:val="en-GB"/>
              </w:rPr>
              <w:instrText xml:space="preserve"> INCLUDEPICTURE  "http://ec.europa.eu/eurostat/cache/metadata/img/estat_ce-05.GIF" \* MERGEFORMATINET </w:instrText>
            </w:r>
            <w:r w:rsidR="00A374CC">
              <w:rPr>
                <w:rFonts w:ascii="Bookman Old Style" w:hAnsi="Bookman Old Style" w:cs="Tahoma"/>
                <w:lang w:val="en-GB"/>
              </w:rPr>
              <w:fldChar w:fldCharType="separate"/>
            </w:r>
            <w:r w:rsidR="00902A9C">
              <w:rPr>
                <w:rFonts w:ascii="Bookman Old Style" w:hAnsi="Bookman Old Style" w:cs="Tahoma"/>
                <w:lang w:val="en-GB"/>
              </w:rPr>
              <w:fldChar w:fldCharType="begin"/>
            </w:r>
            <w:r w:rsidR="00902A9C">
              <w:rPr>
                <w:rFonts w:ascii="Bookman Old Style" w:hAnsi="Bookman Old Style" w:cs="Tahoma"/>
                <w:lang w:val="en-GB"/>
              </w:rPr>
              <w:instrText xml:space="preserve"> INCLUDEPICTURE  "http://ec.europa.eu/eurostat/cache/metadata/img/estat_ce-05.GIF" \* MERGEFORMATINET </w:instrText>
            </w:r>
            <w:r w:rsidR="00902A9C">
              <w:rPr>
                <w:rFonts w:ascii="Bookman Old Style" w:hAnsi="Bookman Old Style" w:cs="Tahoma"/>
                <w:lang w:val="en-GB"/>
              </w:rPr>
              <w:fldChar w:fldCharType="separate"/>
            </w:r>
            <w:r w:rsidR="00186DE2">
              <w:rPr>
                <w:rFonts w:ascii="Bookman Old Style" w:hAnsi="Bookman Old Style" w:cs="Tahoma"/>
                <w:lang w:val="en-GB"/>
              </w:rPr>
              <w:fldChar w:fldCharType="begin"/>
            </w:r>
            <w:r w:rsidR="00186DE2">
              <w:rPr>
                <w:rFonts w:ascii="Bookman Old Style" w:hAnsi="Bookman Old Style" w:cs="Tahoma"/>
                <w:lang w:val="en-GB"/>
              </w:rPr>
              <w:instrText xml:space="preserve"> INCLUDEPICTURE  "http://ec.europa.eu/eurostat/cache/metadata/img/estat_ce-05.GIF" \* MERGEFORMATINET </w:instrText>
            </w:r>
            <w:r w:rsidR="00186DE2">
              <w:rPr>
                <w:rFonts w:ascii="Bookman Old Style" w:hAnsi="Bookman Old Style" w:cs="Tahoma"/>
                <w:lang w:val="en-GB"/>
              </w:rPr>
              <w:fldChar w:fldCharType="separate"/>
            </w:r>
            <w:r w:rsidR="00830983">
              <w:rPr>
                <w:rFonts w:ascii="Bookman Old Style" w:hAnsi="Bookman Old Style" w:cs="Tahoma"/>
                <w:lang w:val="en-GB"/>
              </w:rPr>
              <w:fldChar w:fldCharType="begin"/>
            </w:r>
            <w:r w:rsidR="00830983">
              <w:rPr>
                <w:rFonts w:ascii="Bookman Old Style" w:hAnsi="Bookman Old Style" w:cs="Tahoma"/>
                <w:lang w:val="en-GB"/>
              </w:rPr>
              <w:instrText xml:space="preserve"> INCLUDEPICTURE  "http://ec.europa.eu/eurostat/cache/metadata/img/estat_ce-05.GIF" \* MERGEFORMATINET </w:instrText>
            </w:r>
            <w:r w:rsidR="00830983">
              <w:rPr>
                <w:rFonts w:ascii="Bookman Old Style" w:hAnsi="Bookman Old Style" w:cs="Tahoma"/>
                <w:lang w:val="en-GB"/>
              </w:rPr>
              <w:fldChar w:fldCharType="separate"/>
            </w:r>
            <w:r w:rsidR="00EB4CD5">
              <w:rPr>
                <w:rFonts w:ascii="Bookman Old Style" w:hAnsi="Bookman Old Style" w:cs="Tahoma"/>
                <w:lang w:val="en-GB"/>
              </w:rPr>
              <w:fldChar w:fldCharType="begin"/>
            </w:r>
            <w:r w:rsidR="00EB4CD5">
              <w:rPr>
                <w:rFonts w:ascii="Bookman Old Style" w:hAnsi="Bookman Old Style" w:cs="Tahoma"/>
                <w:lang w:val="en-GB"/>
              </w:rPr>
              <w:instrText xml:space="preserve"> </w:instrText>
            </w:r>
            <w:r w:rsidR="00EB4CD5">
              <w:rPr>
                <w:rFonts w:ascii="Bookman Old Style" w:hAnsi="Bookman Old Style" w:cs="Tahoma"/>
                <w:lang w:val="en-GB"/>
              </w:rPr>
              <w:instrText>I</w:instrText>
            </w:r>
            <w:r w:rsidR="00EB4CD5">
              <w:rPr>
                <w:rFonts w:ascii="Bookman Old Style" w:hAnsi="Bookman Old Style" w:cs="Tahoma"/>
                <w:lang w:val="en-GB"/>
              </w:rPr>
              <w:instrText>NCLUDEPICTURE  "http://ec.europa.eu/eurostat/cache/metadata/img/estat_ce-05.GIF" \* MERGEFORMATINET</w:instrText>
            </w:r>
            <w:r w:rsidR="00EB4CD5">
              <w:rPr>
                <w:rFonts w:ascii="Bookman Old Style" w:hAnsi="Bookman Old Style" w:cs="Tahoma"/>
                <w:lang w:val="en-GB"/>
              </w:rPr>
              <w:instrText xml:space="preserve"> </w:instrText>
            </w:r>
            <w:r w:rsidR="00EB4CD5">
              <w:rPr>
                <w:rFonts w:ascii="Bookman Old Style" w:hAnsi="Bookman Old Style" w:cs="Tahoma"/>
                <w:lang w:val="en-GB"/>
              </w:rPr>
              <w:fldChar w:fldCharType="separate"/>
            </w:r>
            <w:r w:rsidR="007E0CAE">
              <w:rPr>
                <w:rFonts w:ascii="Bookman Old Style" w:hAnsi="Bookman Old Style" w:cs="Tahoma"/>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4.5pt;height:54.75pt">
                  <v:imagedata r:id="rId8" r:href="rId9"/>
                </v:shape>
              </w:pict>
            </w:r>
            <w:r w:rsidR="00EB4CD5">
              <w:rPr>
                <w:rFonts w:ascii="Bookman Old Style" w:hAnsi="Bookman Old Style" w:cs="Tahoma"/>
                <w:lang w:val="en-GB"/>
              </w:rPr>
              <w:fldChar w:fldCharType="end"/>
            </w:r>
            <w:r w:rsidR="00830983">
              <w:rPr>
                <w:rFonts w:ascii="Bookman Old Style" w:hAnsi="Bookman Old Style" w:cs="Tahoma"/>
                <w:lang w:val="en-GB"/>
              </w:rPr>
              <w:fldChar w:fldCharType="end"/>
            </w:r>
            <w:r w:rsidR="00186DE2">
              <w:rPr>
                <w:rFonts w:ascii="Bookman Old Style" w:hAnsi="Bookman Old Style" w:cs="Tahoma"/>
                <w:lang w:val="en-GB"/>
              </w:rPr>
              <w:fldChar w:fldCharType="end"/>
            </w:r>
            <w:r w:rsidR="00902A9C">
              <w:rPr>
                <w:rFonts w:ascii="Bookman Old Style" w:hAnsi="Bookman Old Style" w:cs="Tahoma"/>
                <w:lang w:val="en-GB"/>
              </w:rPr>
              <w:fldChar w:fldCharType="end"/>
            </w:r>
            <w:r w:rsidR="00A374CC">
              <w:rPr>
                <w:rFonts w:ascii="Bookman Old Style" w:hAnsi="Bookman Old Style" w:cs="Tahoma"/>
                <w:lang w:val="en-GB"/>
              </w:rPr>
              <w:fldChar w:fldCharType="end"/>
            </w:r>
            <w:r w:rsidR="006361D2">
              <w:rPr>
                <w:rFonts w:ascii="Bookman Old Style" w:hAnsi="Bookman Old Style" w:cs="Tahoma"/>
                <w:lang w:val="en-GB"/>
              </w:rPr>
              <w:fldChar w:fldCharType="end"/>
            </w:r>
            <w:r>
              <w:rPr>
                <w:rFonts w:ascii="Bookman Old Style" w:hAnsi="Bookman Old Style" w:cs="Tahoma"/>
                <w:lang w:val="en-GB"/>
              </w:rPr>
              <w:fldChar w:fldCharType="end"/>
            </w:r>
          </w:p>
        </w:tc>
        <w:tc>
          <w:tcPr>
            <w:tcW w:w="5755" w:type="dxa"/>
            <w:shd w:val="clear" w:color="auto" w:fill="FFCC99"/>
            <w:vAlign w:val="center"/>
          </w:tcPr>
          <w:p w:rsidR="00A07BB3" w:rsidRPr="00A07BB3" w:rsidRDefault="00A07BB3" w:rsidP="00A07BB3">
            <w:pPr>
              <w:pStyle w:val="heading"/>
              <w:spacing w:before="30" w:after="30" w:line="312" w:lineRule="atLeast"/>
              <w:rPr>
                <w:rFonts w:ascii="Bookman Old Style" w:hAnsi="Bookman Old Style" w:cs="Tahoma"/>
                <w:b/>
                <w:sz w:val="28"/>
                <w:szCs w:val="28"/>
                <w:lang w:val="en-GB"/>
              </w:rPr>
            </w:pPr>
            <w:r w:rsidRPr="00A07BB3">
              <w:rPr>
                <w:rFonts w:ascii="Bookman Old Style" w:hAnsi="Bookman Old Style" w:cs="Tahoma"/>
                <w:b/>
                <w:sz w:val="28"/>
                <w:szCs w:val="28"/>
                <w:lang w:val="en-GB"/>
              </w:rPr>
              <w:t>FORMAREA PROFESIONALĂ (FORPRO)</w:t>
            </w:r>
          </w:p>
          <w:p w:rsidR="00A07BB3" w:rsidRPr="00A07BB3" w:rsidRDefault="00A07BB3" w:rsidP="00A07BB3">
            <w:pPr>
              <w:pStyle w:val="heading"/>
              <w:spacing w:before="30" w:after="30" w:line="312" w:lineRule="atLeast"/>
              <w:rPr>
                <w:rFonts w:ascii="Bookman Old Style" w:hAnsi="Bookman Old Style" w:cs="Tahoma"/>
                <w:b/>
                <w:sz w:val="28"/>
                <w:szCs w:val="28"/>
                <w:lang w:val="en-GB"/>
              </w:rPr>
            </w:pPr>
            <w:r w:rsidRPr="00A07BB3">
              <w:rPr>
                <w:rFonts w:ascii="Bookman Old Style" w:hAnsi="Bookman Old Style" w:cs="Tahoma"/>
                <w:b/>
                <w:sz w:val="28"/>
                <w:szCs w:val="28"/>
                <w:lang w:val="en-GB"/>
              </w:rPr>
              <w:t>RAPORT DE CALITATE</w:t>
            </w:r>
          </w:p>
          <w:p w:rsidR="00832C90" w:rsidRPr="0038436D" w:rsidRDefault="00A07BB3" w:rsidP="00A07BB3">
            <w:pPr>
              <w:pStyle w:val="heading"/>
              <w:spacing w:before="30" w:after="30" w:line="312" w:lineRule="atLeast"/>
              <w:rPr>
                <w:rFonts w:ascii="Bookman Old Style" w:hAnsi="Bookman Old Style" w:cs="Tahoma"/>
                <w:sz w:val="22"/>
                <w:szCs w:val="22"/>
                <w:lang w:val="en-GB"/>
              </w:rPr>
            </w:pPr>
            <w:r w:rsidRPr="00A07BB3">
              <w:rPr>
                <w:rFonts w:ascii="Bookman Old Style" w:hAnsi="Bookman Old Style" w:cs="Tahoma"/>
                <w:b/>
                <w:sz w:val="28"/>
                <w:szCs w:val="28"/>
                <w:lang w:val="en-GB"/>
              </w:rPr>
              <w:t xml:space="preserve"> 2015</w:t>
            </w:r>
          </w:p>
        </w:tc>
        <w:tc>
          <w:tcPr>
            <w:tcW w:w="1858" w:type="dxa"/>
          </w:tcPr>
          <w:p w:rsidR="00832C90" w:rsidRPr="0038436D" w:rsidRDefault="00304996" w:rsidP="005400D1">
            <w:pPr>
              <w:rPr>
                <w:rFonts w:ascii="Bookman Old Style" w:hAnsi="Bookman Old Style" w:cs="Tahoma"/>
                <w:lang w:val="en-GB"/>
              </w:rPr>
            </w:pPr>
            <w:r>
              <w:rPr>
                <w:rFonts w:ascii="Bookman Old Style" w:hAnsi="Bookman Old Style" w:cs="Tahoma"/>
                <w:lang w:val="en-GB"/>
              </w:rPr>
              <w:fldChar w:fldCharType="begin"/>
            </w:r>
            <w:r>
              <w:rPr>
                <w:rFonts w:ascii="Bookman Old Style" w:hAnsi="Bookman Old Style" w:cs="Tahoma"/>
                <w:lang w:val="en-GB"/>
              </w:rPr>
              <w:instrText xml:space="preserve"> INCLUDEPICTURE  "http://ec.europa.eu/eurostat/cache/metadata/img/ro.jpg" \* MERGEFORMATINET </w:instrText>
            </w:r>
            <w:r>
              <w:rPr>
                <w:rFonts w:ascii="Bookman Old Style" w:hAnsi="Bookman Old Style" w:cs="Tahoma"/>
                <w:lang w:val="en-GB"/>
              </w:rPr>
              <w:fldChar w:fldCharType="separate"/>
            </w:r>
            <w:r w:rsidR="006361D2">
              <w:rPr>
                <w:rFonts w:ascii="Bookman Old Style" w:hAnsi="Bookman Old Style" w:cs="Tahoma"/>
                <w:lang w:val="en-GB"/>
              </w:rPr>
              <w:fldChar w:fldCharType="begin"/>
            </w:r>
            <w:r w:rsidR="006361D2">
              <w:rPr>
                <w:rFonts w:ascii="Bookman Old Style" w:hAnsi="Bookman Old Style" w:cs="Tahoma"/>
                <w:lang w:val="en-GB"/>
              </w:rPr>
              <w:instrText xml:space="preserve"> INCLUDEPICTURE  "http://ec.europa.eu/eurostat/cache/metadata/img/ro.jpg" \* MERGEFORMATINET </w:instrText>
            </w:r>
            <w:r w:rsidR="006361D2">
              <w:rPr>
                <w:rFonts w:ascii="Bookman Old Style" w:hAnsi="Bookman Old Style" w:cs="Tahoma"/>
                <w:lang w:val="en-GB"/>
              </w:rPr>
              <w:fldChar w:fldCharType="separate"/>
            </w:r>
            <w:r w:rsidR="00A374CC">
              <w:rPr>
                <w:rFonts w:ascii="Bookman Old Style" w:hAnsi="Bookman Old Style" w:cs="Tahoma"/>
                <w:lang w:val="en-GB"/>
              </w:rPr>
              <w:fldChar w:fldCharType="begin"/>
            </w:r>
            <w:r w:rsidR="00A374CC">
              <w:rPr>
                <w:rFonts w:ascii="Bookman Old Style" w:hAnsi="Bookman Old Style" w:cs="Tahoma"/>
                <w:lang w:val="en-GB"/>
              </w:rPr>
              <w:instrText xml:space="preserve"> INCLUDEPICTURE  "http://ec.europa.eu/eurostat/cache/metadata/img/ro.jpg" \* MERGEFORMATINET </w:instrText>
            </w:r>
            <w:r w:rsidR="00A374CC">
              <w:rPr>
                <w:rFonts w:ascii="Bookman Old Style" w:hAnsi="Bookman Old Style" w:cs="Tahoma"/>
                <w:lang w:val="en-GB"/>
              </w:rPr>
              <w:fldChar w:fldCharType="separate"/>
            </w:r>
            <w:r w:rsidR="00902A9C">
              <w:rPr>
                <w:rFonts w:ascii="Bookman Old Style" w:hAnsi="Bookman Old Style" w:cs="Tahoma"/>
                <w:lang w:val="en-GB"/>
              </w:rPr>
              <w:fldChar w:fldCharType="begin"/>
            </w:r>
            <w:r w:rsidR="00902A9C">
              <w:rPr>
                <w:rFonts w:ascii="Bookman Old Style" w:hAnsi="Bookman Old Style" w:cs="Tahoma"/>
                <w:lang w:val="en-GB"/>
              </w:rPr>
              <w:instrText xml:space="preserve"> INCLUDEPICTURE  "http://ec.europa.eu/eurostat/cache/metadata/img/ro.jpg" \* MERGEFORMATINET </w:instrText>
            </w:r>
            <w:r w:rsidR="00902A9C">
              <w:rPr>
                <w:rFonts w:ascii="Bookman Old Style" w:hAnsi="Bookman Old Style" w:cs="Tahoma"/>
                <w:lang w:val="en-GB"/>
              </w:rPr>
              <w:fldChar w:fldCharType="separate"/>
            </w:r>
            <w:r w:rsidR="00186DE2">
              <w:rPr>
                <w:rFonts w:ascii="Bookman Old Style" w:hAnsi="Bookman Old Style" w:cs="Tahoma"/>
                <w:lang w:val="en-GB"/>
              </w:rPr>
              <w:fldChar w:fldCharType="begin"/>
            </w:r>
            <w:r w:rsidR="00186DE2">
              <w:rPr>
                <w:rFonts w:ascii="Bookman Old Style" w:hAnsi="Bookman Old Style" w:cs="Tahoma"/>
                <w:lang w:val="en-GB"/>
              </w:rPr>
              <w:instrText xml:space="preserve"> INCLUDEPICTURE  "http://ec.europa.eu/eurostat/cache/metadata/img/ro.jpg" \* MERGEFORMATINET </w:instrText>
            </w:r>
            <w:r w:rsidR="00186DE2">
              <w:rPr>
                <w:rFonts w:ascii="Bookman Old Style" w:hAnsi="Bookman Old Style" w:cs="Tahoma"/>
                <w:lang w:val="en-GB"/>
              </w:rPr>
              <w:fldChar w:fldCharType="separate"/>
            </w:r>
            <w:r w:rsidR="00830983">
              <w:rPr>
                <w:rFonts w:ascii="Bookman Old Style" w:hAnsi="Bookman Old Style" w:cs="Tahoma"/>
                <w:lang w:val="en-GB"/>
              </w:rPr>
              <w:fldChar w:fldCharType="begin"/>
            </w:r>
            <w:r w:rsidR="00830983">
              <w:rPr>
                <w:rFonts w:ascii="Bookman Old Style" w:hAnsi="Bookman Old Style" w:cs="Tahoma"/>
                <w:lang w:val="en-GB"/>
              </w:rPr>
              <w:instrText xml:space="preserve"> INCLUDEPICTURE  "http://ec.europa.eu/eurostat/cache/metadata/img/ro.jpg" \* MERGEFORMATINET </w:instrText>
            </w:r>
            <w:r w:rsidR="00830983">
              <w:rPr>
                <w:rFonts w:ascii="Bookman Old Style" w:hAnsi="Bookman Old Style" w:cs="Tahoma"/>
                <w:lang w:val="en-GB"/>
              </w:rPr>
              <w:fldChar w:fldCharType="separate"/>
            </w:r>
            <w:r w:rsidR="00EB4CD5">
              <w:rPr>
                <w:rFonts w:ascii="Bookman Old Style" w:hAnsi="Bookman Old Style" w:cs="Tahoma"/>
                <w:lang w:val="en-GB"/>
              </w:rPr>
              <w:fldChar w:fldCharType="begin"/>
            </w:r>
            <w:r w:rsidR="00EB4CD5">
              <w:rPr>
                <w:rFonts w:ascii="Bookman Old Style" w:hAnsi="Bookman Old Style" w:cs="Tahoma"/>
                <w:lang w:val="en-GB"/>
              </w:rPr>
              <w:instrText xml:space="preserve"> </w:instrText>
            </w:r>
            <w:r w:rsidR="00EB4CD5">
              <w:rPr>
                <w:rFonts w:ascii="Bookman Old Style" w:hAnsi="Bookman Old Style" w:cs="Tahoma"/>
                <w:lang w:val="en-GB"/>
              </w:rPr>
              <w:instrText>INCLUDEPICTURE  "http://ec.europa.eu/eurostat/cache/metadata/img/ro.jpg" \* MERGEFORMATINET</w:instrText>
            </w:r>
            <w:r w:rsidR="00EB4CD5">
              <w:rPr>
                <w:rFonts w:ascii="Bookman Old Style" w:hAnsi="Bookman Old Style" w:cs="Tahoma"/>
                <w:lang w:val="en-GB"/>
              </w:rPr>
              <w:instrText xml:space="preserve"> </w:instrText>
            </w:r>
            <w:r w:rsidR="00EB4CD5">
              <w:rPr>
                <w:rFonts w:ascii="Bookman Old Style" w:hAnsi="Bookman Old Style" w:cs="Tahoma"/>
                <w:lang w:val="en-GB"/>
              </w:rPr>
              <w:fldChar w:fldCharType="separate"/>
            </w:r>
            <w:r w:rsidR="007E0CAE">
              <w:rPr>
                <w:rFonts w:ascii="Bookman Old Style" w:hAnsi="Bookman Old Style" w:cs="Tahoma"/>
                <w:lang w:val="en-GB"/>
              </w:rPr>
              <w:pict>
                <v:shape id="_x0000_i1026" type="#_x0000_t75" alt="" style="width:81.75pt;height:56.25pt">
                  <v:imagedata r:id="rId10" r:href="rId11"/>
                </v:shape>
              </w:pict>
            </w:r>
            <w:r w:rsidR="00EB4CD5">
              <w:rPr>
                <w:rFonts w:ascii="Bookman Old Style" w:hAnsi="Bookman Old Style" w:cs="Tahoma"/>
                <w:lang w:val="en-GB"/>
              </w:rPr>
              <w:fldChar w:fldCharType="end"/>
            </w:r>
            <w:r w:rsidR="00830983">
              <w:rPr>
                <w:rFonts w:ascii="Bookman Old Style" w:hAnsi="Bookman Old Style" w:cs="Tahoma"/>
                <w:lang w:val="en-GB"/>
              </w:rPr>
              <w:fldChar w:fldCharType="end"/>
            </w:r>
            <w:r w:rsidR="00186DE2">
              <w:rPr>
                <w:rFonts w:ascii="Bookman Old Style" w:hAnsi="Bookman Old Style" w:cs="Tahoma"/>
                <w:lang w:val="en-GB"/>
              </w:rPr>
              <w:fldChar w:fldCharType="end"/>
            </w:r>
            <w:r w:rsidR="00902A9C">
              <w:rPr>
                <w:rFonts w:ascii="Bookman Old Style" w:hAnsi="Bookman Old Style" w:cs="Tahoma"/>
                <w:lang w:val="en-GB"/>
              </w:rPr>
              <w:fldChar w:fldCharType="end"/>
            </w:r>
            <w:r w:rsidR="00A374CC">
              <w:rPr>
                <w:rFonts w:ascii="Bookman Old Style" w:hAnsi="Bookman Old Style" w:cs="Tahoma"/>
                <w:lang w:val="en-GB"/>
              </w:rPr>
              <w:fldChar w:fldCharType="end"/>
            </w:r>
            <w:r w:rsidR="006361D2">
              <w:rPr>
                <w:rFonts w:ascii="Bookman Old Style" w:hAnsi="Bookman Old Style" w:cs="Tahoma"/>
                <w:lang w:val="en-GB"/>
              </w:rPr>
              <w:fldChar w:fldCharType="end"/>
            </w:r>
            <w:r>
              <w:rPr>
                <w:rFonts w:ascii="Bookman Old Style" w:hAnsi="Bookman Old Style" w:cs="Tahoma"/>
                <w:lang w:val="en-GB"/>
              </w:rPr>
              <w:fldChar w:fldCharType="end"/>
            </w:r>
          </w:p>
        </w:tc>
      </w:tr>
    </w:tbl>
    <w:p w:rsidR="00832C90" w:rsidRPr="0038436D" w:rsidRDefault="00832C90">
      <w:pPr>
        <w:pStyle w:val="doccommon1"/>
        <w:shd w:val="clear" w:color="auto" w:fill="FFFFFF"/>
        <w:divId w:val="530731735"/>
        <w:rPr>
          <w:rFonts w:ascii="Bookman Old Style" w:hAnsi="Bookman Old Style"/>
          <w:sz w:val="20"/>
          <w:szCs w:val="20"/>
          <w:lang w:val="en-GB"/>
        </w:rPr>
      </w:pPr>
    </w:p>
    <w:p w:rsidR="00832C90" w:rsidRPr="0038436D" w:rsidRDefault="00832C90">
      <w:pPr>
        <w:pStyle w:val="doccommon1"/>
        <w:shd w:val="clear" w:color="auto" w:fill="FFFFFF"/>
        <w:divId w:val="530731735"/>
        <w:rPr>
          <w:rFonts w:ascii="Bookman Old Style" w:hAnsi="Bookman Old Style"/>
          <w:sz w:val="20"/>
          <w:szCs w:val="20"/>
          <w:lang w:val="en-GB"/>
        </w:rPr>
      </w:pPr>
    </w:p>
    <w:tbl>
      <w:tblPr>
        <w:tblW w:w="4976" w:type="pct"/>
        <w:tblCellMar>
          <w:left w:w="0" w:type="dxa"/>
          <w:right w:w="0" w:type="dxa"/>
        </w:tblCellMar>
        <w:tblLook w:val="00A0" w:firstRow="1" w:lastRow="0" w:firstColumn="1" w:lastColumn="0" w:noHBand="0" w:noVBand="0"/>
      </w:tblPr>
      <w:tblGrid>
        <w:gridCol w:w="9848"/>
      </w:tblGrid>
      <w:tr w:rsidR="00832C90" w:rsidRPr="00A07BB3" w:rsidTr="00827E41">
        <w:trPr>
          <w:divId w:val="530731735"/>
          <w:trHeight w:val="240"/>
        </w:trPr>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A07BB3" w:rsidRDefault="00A07BB3" w:rsidP="0051690F">
            <w:pPr>
              <w:jc w:val="both"/>
              <w:rPr>
                <w:rFonts w:ascii="Bookman Old Style" w:hAnsi="Bookman Old Style"/>
                <w:b/>
                <w:bCs/>
                <w:color w:val="000000"/>
                <w:sz w:val="20"/>
                <w:szCs w:val="20"/>
                <w:lang w:val="ro-RO"/>
              </w:rPr>
            </w:pPr>
            <w:r w:rsidRPr="00A07BB3">
              <w:rPr>
                <w:rFonts w:ascii="Bookman Old Style" w:hAnsi="Bookman Old Style"/>
                <w:b/>
                <w:bCs/>
                <w:color w:val="000000"/>
                <w:sz w:val="20"/>
                <w:szCs w:val="20"/>
                <w:lang w:val="ro-RO"/>
              </w:rPr>
              <w:t>Metadate</w:t>
            </w:r>
          </w:p>
        </w:tc>
      </w:tr>
      <w:tr w:rsidR="00832C90" w:rsidRPr="00A07BB3" w:rsidTr="00827E41">
        <w:trPr>
          <w:divId w:val="530731735"/>
          <w:trHeight w:val="308"/>
        </w:trPr>
        <w:tc>
          <w:tcPr>
            <w:tcW w:w="5000" w:type="pct"/>
            <w:tcBorders>
              <w:left w:val="single" w:sz="8" w:space="0" w:color="000000"/>
              <w:bottom w:val="single" w:sz="8" w:space="0" w:color="000000"/>
              <w:right w:val="single" w:sz="8" w:space="0" w:color="000000"/>
            </w:tcBorders>
            <w:tcMar>
              <w:top w:w="20" w:type="dxa"/>
              <w:left w:w="129" w:type="dxa"/>
              <w:bottom w:w="20" w:type="dxa"/>
              <w:right w:w="129" w:type="dxa"/>
            </w:tcMar>
          </w:tcPr>
          <w:p w:rsidR="00A07BB3" w:rsidRPr="00017ECF" w:rsidRDefault="00EB4CD5" w:rsidP="00A07BB3">
            <w:pPr>
              <w:rPr>
                <w:b/>
                <w:lang w:val="ro-RO"/>
              </w:rPr>
            </w:pPr>
            <w:hyperlink w:anchor="contact1514367199835" w:history="1">
              <w:r w:rsidR="00A07BB3" w:rsidRPr="00017ECF">
                <w:rPr>
                  <w:b/>
                  <w:lang w:val="ro-RO"/>
                </w:rPr>
                <w:t xml:space="preserve">1. </w:t>
              </w:r>
            </w:hyperlink>
            <w:r w:rsidR="00DD20AF" w:rsidRPr="00DD20AF">
              <w:rPr>
                <w:b/>
                <w:lang w:val="ro-RO"/>
              </w:rPr>
              <w:t>Date de contact</w:t>
            </w:r>
            <w:r w:rsidR="00A07BB3" w:rsidRPr="00017ECF">
              <w:rPr>
                <w:b/>
                <w:lang w:val="ro-RO"/>
              </w:rPr>
              <w:br/>
            </w:r>
            <w:hyperlink w:anchor="stat_pres1514367199835" w:history="1">
              <w:r w:rsidR="00A07BB3" w:rsidRPr="00017ECF">
                <w:rPr>
                  <w:b/>
                  <w:lang w:val="ro-RO"/>
                </w:rPr>
                <w:t xml:space="preserve">2. Prezentarea sursei de date </w:t>
              </w:r>
            </w:hyperlink>
            <w:r w:rsidR="00832C90" w:rsidRPr="00017ECF">
              <w:rPr>
                <w:rFonts w:ascii="Bookman Old Style" w:hAnsi="Bookman Old Style"/>
                <w:b/>
                <w:sz w:val="20"/>
                <w:szCs w:val="20"/>
                <w:lang w:val="ro-RO"/>
              </w:rPr>
              <w:br/>
            </w:r>
            <w:hyperlink w:anchor="stat_process1514367199835" w:history="1">
              <w:r w:rsidR="00A07BB3" w:rsidRPr="00017ECF">
                <w:rPr>
                  <w:b/>
                  <w:lang w:val="ro-RO"/>
                </w:rPr>
                <w:t xml:space="preserve">3. Procesarea statistică </w:t>
              </w:r>
            </w:hyperlink>
            <w:r w:rsidR="00A07BB3" w:rsidRPr="00017ECF">
              <w:rPr>
                <w:b/>
                <w:lang w:val="ro-RO"/>
              </w:rPr>
              <w:br/>
            </w:r>
            <w:hyperlink w:anchor="quality_mgmnt1514367199835" w:history="1">
              <w:r w:rsidR="00A07BB3" w:rsidRPr="00017ECF">
                <w:rPr>
                  <w:b/>
                  <w:lang w:val="ro-RO"/>
                </w:rPr>
                <w:t>4. Managementul calităţii</w:t>
              </w:r>
            </w:hyperlink>
            <w:r w:rsidR="00A07BB3" w:rsidRPr="00017ECF">
              <w:rPr>
                <w:b/>
                <w:lang w:val="ro-RO"/>
              </w:rPr>
              <w:t xml:space="preserve"> </w:t>
            </w:r>
            <w:r w:rsidR="00A07BB3" w:rsidRPr="00017ECF">
              <w:rPr>
                <w:b/>
                <w:lang w:val="ro-RO"/>
              </w:rPr>
              <w:br/>
            </w:r>
            <w:hyperlink w:anchor="relevance1514367199835" w:history="1">
              <w:r w:rsidR="00A07BB3" w:rsidRPr="00017ECF">
                <w:rPr>
                  <w:b/>
                  <w:lang w:val="ro-RO"/>
                </w:rPr>
                <w:t>5. Relevanţa</w:t>
              </w:r>
            </w:hyperlink>
            <w:r w:rsidR="00A07BB3" w:rsidRPr="00017ECF">
              <w:rPr>
                <w:b/>
                <w:lang w:val="ro-RO"/>
              </w:rPr>
              <w:t xml:space="preserve"> </w:t>
            </w:r>
            <w:r w:rsidR="00A07BB3" w:rsidRPr="00017ECF">
              <w:rPr>
                <w:b/>
                <w:lang w:val="ro-RO"/>
              </w:rPr>
              <w:br/>
            </w:r>
            <w:hyperlink w:anchor="accuracy_reliability1514367199835" w:history="1">
              <w:r w:rsidR="00A07BB3" w:rsidRPr="00017ECF">
                <w:rPr>
                  <w:b/>
                  <w:lang w:val="ro-RO"/>
                </w:rPr>
                <w:t>6. Acurateţea şi fiabilitatea</w:t>
              </w:r>
            </w:hyperlink>
            <w:r w:rsidR="00A07BB3" w:rsidRPr="00017ECF">
              <w:rPr>
                <w:b/>
                <w:lang w:val="ro-RO"/>
              </w:rPr>
              <w:t xml:space="preserve"> </w:t>
            </w:r>
            <w:r w:rsidR="00A07BB3" w:rsidRPr="00017ECF">
              <w:rPr>
                <w:b/>
                <w:lang w:val="ro-RO"/>
              </w:rPr>
              <w:br/>
            </w:r>
            <w:hyperlink w:anchor="timeliness_punct1514367199835" w:history="1">
              <w:r w:rsidR="00A07BB3" w:rsidRPr="00017ECF">
                <w:rPr>
                  <w:b/>
                  <w:lang w:val="ro-RO"/>
                </w:rPr>
                <w:t>7. Oportunitatea şi punctualitatea</w:t>
              </w:r>
            </w:hyperlink>
            <w:r w:rsidR="00A07BB3" w:rsidRPr="00017ECF">
              <w:rPr>
                <w:b/>
                <w:lang w:val="ro-RO"/>
              </w:rPr>
              <w:t xml:space="preserve"> </w:t>
            </w:r>
            <w:r w:rsidR="00A07BB3" w:rsidRPr="00017ECF">
              <w:rPr>
                <w:b/>
                <w:lang w:val="ro-RO"/>
              </w:rPr>
              <w:br/>
            </w:r>
            <w:hyperlink w:anchor="coher_compar1514367199835" w:history="1">
              <w:r w:rsidR="00A07BB3" w:rsidRPr="00017ECF">
                <w:rPr>
                  <w:b/>
                  <w:lang w:val="ro-RO"/>
                </w:rPr>
                <w:t>8. Coerenţa şi comparabilitatea</w:t>
              </w:r>
            </w:hyperlink>
            <w:r w:rsidR="00A07BB3" w:rsidRPr="00017ECF">
              <w:rPr>
                <w:b/>
                <w:lang w:val="ro-RO"/>
              </w:rPr>
              <w:t xml:space="preserve"> </w:t>
            </w:r>
            <w:r w:rsidR="00A07BB3" w:rsidRPr="00017ECF">
              <w:rPr>
                <w:b/>
                <w:lang w:val="ro-RO"/>
              </w:rPr>
              <w:br/>
            </w:r>
            <w:hyperlink w:anchor="accessibility_clarity1514367199835" w:history="1">
              <w:r w:rsidR="00A07BB3" w:rsidRPr="00017ECF">
                <w:rPr>
                  <w:b/>
                  <w:lang w:val="ro-RO"/>
                </w:rPr>
                <w:t xml:space="preserve">9. </w:t>
              </w:r>
              <w:r w:rsidR="00A07BB3" w:rsidRPr="00017ECF">
                <w:rPr>
                  <w:rStyle w:val="apple-converted-space"/>
                  <w:b/>
                  <w:lang w:val="ro-RO"/>
                </w:rPr>
                <w:t>Accesibilitatea şi claritatea</w:t>
              </w:r>
            </w:hyperlink>
            <w:r w:rsidR="00A07BB3" w:rsidRPr="00017ECF">
              <w:rPr>
                <w:b/>
                <w:lang w:val="ro-RO"/>
              </w:rPr>
              <w:t xml:space="preserve"> </w:t>
            </w:r>
            <w:r w:rsidR="00A07BB3" w:rsidRPr="00017ECF">
              <w:rPr>
                <w:b/>
                <w:lang w:val="ro-RO"/>
              </w:rPr>
              <w:br/>
            </w:r>
            <w:hyperlink w:anchor="cost_burden1514367199835" w:history="1">
              <w:r w:rsidR="00A07BB3" w:rsidRPr="00017ECF">
                <w:rPr>
                  <w:b/>
                  <w:lang w:val="ro-RO"/>
                </w:rPr>
                <w:t xml:space="preserve">10. Gradul de împovărare </w:t>
              </w:r>
            </w:hyperlink>
            <w:r w:rsidR="00A07BB3" w:rsidRPr="00017ECF">
              <w:rPr>
                <w:b/>
                <w:lang w:val="ro-RO"/>
              </w:rPr>
              <w:br/>
            </w:r>
            <w:hyperlink w:anchor="conf1514367199835" w:history="1">
              <w:r w:rsidR="00A07BB3" w:rsidRPr="00017ECF">
                <w:rPr>
                  <w:b/>
                  <w:lang w:val="ro-RO"/>
                </w:rPr>
                <w:t>11. Confidenţialitatea</w:t>
              </w:r>
            </w:hyperlink>
            <w:r w:rsidR="00A07BB3" w:rsidRPr="00017ECF">
              <w:rPr>
                <w:b/>
                <w:lang w:val="ro-RO"/>
              </w:rPr>
              <w:t xml:space="preserve"> </w:t>
            </w:r>
            <w:r w:rsidR="00A07BB3" w:rsidRPr="00017ECF">
              <w:rPr>
                <w:b/>
                <w:lang w:val="ro-RO"/>
              </w:rPr>
              <w:br/>
            </w:r>
            <w:hyperlink w:anchor="comment_dset1514367199835" w:history="1">
              <w:r w:rsidR="00A07BB3" w:rsidRPr="00017ECF">
                <w:rPr>
                  <w:b/>
                  <w:lang w:val="ro-RO"/>
                </w:rPr>
                <w:t>12. Comentarii</w:t>
              </w:r>
            </w:hyperlink>
            <w:r w:rsidR="00A07BB3" w:rsidRPr="00017ECF">
              <w:rPr>
                <w:b/>
                <w:lang w:val="ro-RO"/>
              </w:rPr>
              <w:t xml:space="preserve"> </w:t>
            </w:r>
            <w:r w:rsidR="00A07BB3" w:rsidRPr="00017ECF">
              <w:rPr>
                <w:b/>
                <w:lang w:val="ro-RO"/>
              </w:rPr>
              <w:br/>
              <w:t>Metadate</w:t>
            </w:r>
          </w:p>
          <w:p w:rsidR="00832C90" w:rsidRPr="00A07BB3" w:rsidRDefault="00A07BB3" w:rsidP="00A07BB3">
            <w:pPr>
              <w:rPr>
                <w:rFonts w:ascii="Bookman Old Style" w:hAnsi="Bookman Old Style"/>
                <w:b/>
                <w:sz w:val="20"/>
                <w:szCs w:val="20"/>
                <w:lang w:val="ro-RO"/>
              </w:rPr>
            </w:pPr>
            <w:r w:rsidRPr="00017ECF">
              <w:rPr>
                <w:b/>
                <w:lang w:val="ro-RO"/>
              </w:rPr>
              <w:t>Anexe</w:t>
            </w:r>
          </w:p>
        </w:tc>
      </w:tr>
    </w:tbl>
    <w:p w:rsidR="00832C90" w:rsidRPr="0038436D" w:rsidRDefault="00832C90">
      <w:pPr>
        <w:pStyle w:val="doccommon1"/>
        <w:shd w:val="clear" w:color="auto" w:fill="FFFFFF"/>
        <w:divId w:val="530731735"/>
        <w:rPr>
          <w:rFonts w:ascii="Bookman Old Style" w:hAnsi="Bookman Old Style"/>
          <w:sz w:val="20"/>
          <w:szCs w:val="20"/>
          <w:lang w:val="en-GB"/>
        </w:rPr>
      </w:pPr>
    </w:p>
    <w:tbl>
      <w:tblPr>
        <w:tblW w:w="5000" w:type="pct"/>
        <w:tblCellMar>
          <w:left w:w="0" w:type="dxa"/>
          <w:right w:w="0" w:type="dxa"/>
        </w:tblCellMar>
        <w:tblLook w:val="00A0" w:firstRow="1" w:lastRow="0" w:firstColumn="1" w:lastColumn="0" w:noHBand="0" w:noVBand="0"/>
      </w:tblPr>
      <w:tblGrid>
        <w:gridCol w:w="3375"/>
        <w:gridCol w:w="6521"/>
      </w:tblGrid>
      <w:tr w:rsidR="00832C90" w:rsidRPr="0038436D" w:rsidTr="00827E41">
        <w:trPr>
          <w:divId w:val="530731735"/>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38436D" w:rsidRDefault="00B1340F">
            <w:pPr>
              <w:rPr>
                <w:rFonts w:ascii="Bookman Old Style" w:hAnsi="Bookman Old Style"/>
                <w:b/>
                <w:bCs/>
                <w:lang w:val="en-GB"/>
              </w:rPr>
            </w:pPr>
            <w:bookmarkStart w:id="0" w:name="contact1502954759597"/>
            <w:bookmarkStart w:id="1" w:name="contact"/>
            <w:bookmarkEnd w:id="0"/>
            <w:bookmarkEnd w:id="1"/>
            <w:r w:rsidRPr="00EB01FE">
              <w:rPr>
                <w:b/>
                <w:bCs/>
                <w:sz w:val="32"/>
                <w:szCs w:val="32"/>
              </w:rPr>
              <w:t>1. Date de contact</w:t>
            </w:r>
          </w:p>
        </w:tc>
      </w:tr>
      <w:tr w:rsidR="00B1340F" w:rsidRPr="0038436D" w:rsidTr="00827E41">
        <w:trPr>
          <w:divId w:val="530731735"/>
          <w:trHeight w:val="300"/>
        </w:trPr>
        <w:tc>
          <w:tcPr>
            <w:tcW w:w="1705"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B1340F" w:rsidRPr="00B1340F" w:rsidRDefault="00B1340F" w:rsidP="00B1340F">
            <w:pPr>
              <w:rPr>
                <w:b/>
                <w:bCs/>
                <w:sz w:val="22"/>
                <w:szCs w:val="22"/>
                <w:lang w:val="ro-RO"/>
              </w:rPr>
            </w:pPr>
            <w:bookmarkStart w:id="2" w:name="contact_organisation"/>
            <w:bookmarkEnd w:id="2"/>
            <w:r w:rsidRPr="00B1340F">
              <w:rPr>
                <w:b/>
                <w:bCs/>
                <w:sz w:val="22"/>
                <w:szCs w:val="22"/>
                <w:lang w:val="ro-RO"/>
              </w:rPr>
              <w:t>1.1. Instituţia responsabilă</w:t>
            </w:r>
          </w:p>
        </w:tc>
        <w:tc>
          <w:tcPr>
            <w:tcW w:w="3295"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1340F" w:rsidRPr="00B1340F" w:rsidRDefault="00B1340F" w:rsidP="00B1340F">
            <w:pPr>
              <w:spacing w:before="30" w:after="30"/>
              <w:rPr>
                <w:sz w:val="22"/>
                <w:szCs w:val="22"/>
                <w:lang w:val="ro-RO"/>
              </w:rPr>
            </w:pPr>
            <w:r w:rsidRPr="00B1340F">
              <w:rPr>
                <w:sz w:val="22"/>
                <w:szCs w:val="22"/>
                <w:lang w:val="ro-RO"/>
              </w:rPr>
              <w:t>ROMÂNIA – INSTITUTUL NAŢIONAL DE STATISTICĂ (INS)</w:t>
            </w:r>
          </w:p>
        </w:tc>
      </w:tr>
      <w:tr w:rsidR="00B1340F" w:rsidRPr="0038436D" w:rsidTr="00827E41">
        <w:trPr>
          <w:divId w:val="530731735"/>
          <w:trHeight w:val="755"/>
        </w:trPr>
        <w:tc>
          <w:tcPr>
            <w:tcW w:w="1705"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B1340F" w:rsidRPr="00B1340F" w:rsidRDefault="00B1340F" w:rsidP="00B1340F">
            <w:pPr>
              <w:rPr>
                <w:b/>
                <w:bCs/>
                <w:sz w:val="22"/>
                <w:szCs w:val="22"/>
                <w:lang w:val="ro-RO"/>
              </w:rPr>
            </w:pPr>
            <w:bookmarkStart w:id="3" w:name="organisation_unit"/>
            <w:bookmarkEnd w:id="3"/>
            <w:r w:rsidRPr="00B1340F">
              <w:rPr>
                <w:b/>
                <w:bCs/>
                <w:sz w:val="22"/>
                <w:szCs w:val="22"/>
                <w:lang w:val="ro-RO"/>
              </w:rPr>
              <w:t>1.2. Serviciul responsabil din cadrul instituţiei</w:t>
            </w:r>
          </w:p>
        </w:tc>
        <w:tc>
          <w:tcPr>
            <w:tcW w:w="3295"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1340F" w:rsidRPr="00B1340F" w:rsidRDefault="00B1340F" w:rsidP="00B1340F">
            <w:pPr>
              <w:spacing w:before="30" w:after="30"/>
              <w:rPr>
                <w:sz w:val="22"/>
                <w:szCs w:val="22"/>
                <w:lang w:val="ro-RO"/>
              </w:rPr>
            </w:pPr>
            <w:r w:rsidRPr="00B1340F">
              <w:rPr>
                <w:sz w:val="22"/>
                <w:szCs w:val="22"/>
                <w:lang w:val="ro-RO"/>
              </w:rPr>
              <w:t>Direcţia Generală de Demografie şi Statistică Socială</w:t>
            </w:r>
          </w:p>
          <w:p w:rsidR="00B1340F" w:rsidRPr="00B1340F" w:rsidRDefault="00B1340F" w:rsidP="00B1340F">
            <w:pPr>
              <w:spacing w:before="30" w:after="30"/>
              <w:rPr>
                <w:sz w:val="22"/>
                <w:szCs w:val="22"/>
                <w:lang w:val="ro-RO"/>
              </w:rPr>
            </w:pPr>
            <w:r w:rsidRPr="00B1340F">
              <w:rPr>
                <w:sz w:val="22"/>
                <w:szCs w:val="22"/>
                <w:lang w:val="ro-RO"/>
              </w:rPr>
              <w:t>Direcţia de calcul a indicatorilor privind populaţia şi migraţia externă/ Serviciul Statistica salariilor şi educaţiei</w:t>
            </w:r>
          </w:p>
        </w:tc>
      </w:tr>
      <w:tr w:rsidR="00B1340F" w:rsidRPr="0038436D" w:rsidTr="00827E41">
        <w:trPr>
          <w:divId w:val="530731735"/>
          <w:trHeight w:val="300"/>
        </w:trPr>
        <w:tc>
          <w:tcPr>
            <w:tcW w:w="1705"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B1340F" w:rsidRPr="00B1340F" w:rsidRDefault="00B1340F" w:rsidP="00B1340F">
            <w:pPr>
              <w:rPr>
                <w:b/>
                <w:bCs/>
                <w:sz w:val="22"/>
                <w:szCs w:val="22"/>
                <w:lang w:val="ro-RO"/>
              </w:rPr>
            </w:pPr>
            <w:r w:rsidRPr="00B1340F">
              <w:rPr>
                <w:b/>
                <w:bCs/>
                <w:sz w:val="22"/>
                <w:szCs w:val="22"/>
                <w:lang w:val="ro-RO"/>
              </w:rPr>
              <w:t>1.5. Adresa poştală</w:t>
            </w:r>
          </w:p>
        </w:tc>
        <w:tc>
          <w:tcPr>
            <w:tcW w:w="3295"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1340F" w:rsidRPr="00B1340F" w:rsidRDefault="00B1340F" w:rsidP="00B1340F">
            <w:pPr>
              <w:spacing w:before="30" w:after="30"/>
              <w:rPr>
                <w:sz w:val="22"/>
                <w:szCs w:val="22"/>
                <w:lang w:val="ro-RO"/>
              </w:rPr>
            </w:pPr>
            <w:r w:rsidRPr="00B1340F">
              <w:rPr>
                <w:sz w:val="22"/>
                <w:szCs w:val="22"/>
                <w:lang w:val="ro-RO"/>
              </w:rPr>
              <w:t>Institutul Naţional de Statistică (INS)</w:t>
            </w:r>
          </w:p>
          <w:p w:rsidR="00B1340F" w:rsidRPr="00B1340F" w:rsidRDefault="00B1340F" w:rsidP="00B1340F">
            <w:pPr>
              <w:spacing w:before="30" w:after="30"/>
              <w:rPr>
                <w:sz w:val="22"/>
                <w:szCs w:val="22"/>
                <w:lang w:val="ro-RO"/>
              </w:rPr>
            </w:pPr>
            <w:r w:rsidRPr="00B1340F">
              <w:rPr>
                <w:sz w:val="22"/>
                <w:szCs w:val="22"/>
                <w:lang w:val="ro-RO"/>
              </w:rPr>
              <w:t>Bdul. Libertăţii nr. 16, sector 5, Bucureşti, ROMÂNIA</w:t>
            </w:r>
          </w:p>
        </w:tc>
      </w:tr>
    </w:tbl>
    <w:p w:rsidR="00832C90" w:rsidRPr="0038436D" w:rsidRDefault="00832C90">
      <w:pPr>
        <w:pStyle w:val="doccommon1"/>
        <w:shd w:val="clear" w:color="auto" w:fill="FFFFFF"/>
        <w:divId w:val="530731735"/>
        <w:rPr>
          <w:rFonts w:ascii="Bookman Old Style" w:hAnsi="Bookman Old Style"/>
          <w:sz w:val="20"/>
          <w:szCs w:val="20"/>
          <w:lang w:val="en-GB"/>
        </w:rPr>
      </w:pPr>
    </w:p>
    <w:tbl>
      <w:tblPr>
        <w:tblW w:w="4976" w:type="pct"/>
        <w:tblCellMar>
          <w:left w:w="0" w:type="dxa"/>
          <w:right w:w="0" w:type="dxa"/>
        </w:tblCellMar>
        <w:tblLook w:val="00A0" w:firstRow="1" w:lastRow="0" w:firstColumn="1" w:lastColumn="0" w:noHBand="0" w:noVBand="0"/>
      </w:tblPr>
      <w:tblGrid>
        <w:gridCol w:w="9848"/>
      </w:tblGrid>
      <w:tr w:rsidR="00DD20AF" w:rsidRPr="0038436D" w:rsidTr="004E5713">
        <w:trPr>
          <w:divId w:val="530731735"/>
        </w:trPr>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DD20AF" w:rsidRPr="009444B6" w:rsidRDefault="00DD20AF" w:rsidP="00DD20AF">
            <w:pPr>
              <w:rPr>
                <w:b/>
                <w:bCs/>
                <w:sz w:val="32"/>
                <w:szCs w:val="32"/>
                <w:lang w:val="ro-RO"/>
              </w:rPr>
            </w:pPr>
            <w:bookmarkStart w:id="4" w:name="stat_pres1502954759597"/>
            <w:bookmarkEnd w:id="4"/>
            <w:r w:rsidRPr="009444B6">
              <w:rPr>
                <w:b/>
                <w:bCs/>
                <w:sz w:val="32"/>
                <w:szCs w:val="32"/>
                <w:lang w:val="ro-RO"/>
              </w:rPr>
              <w:t>2. Prezentarea sursei de date</w:t>
            </w:r>
          </w:p>
        </w:tc>
      </w:tr>
      <w:tr w:rsidR="00DD20AF" w:rsidRPr="0038436D" w:rsidTr="004E5713">
        <w:trPr>
          <w:divId w:val="530731735"/>
        </w:trPr>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D20AF" w:rsidRPr="009444B6" w:rsidRDefault="00DD20AF" w:rsidP="00DD20AF">
            <w:pPr>
              <w:rPr>
                <w:rFonts w:ascii="Bookman Old Style" w:hAnsi="Bookman Old Style"/>
                <w:b/>
                <w:bCs/>
                <w:sz w:val="20"/>
                <w:szCs w:val="20"/>
                <w:lang w:val="ro-RO"/>
              </w:rPr>
            </w:pPr>
            <w:bookmarkStart w:id="5" w:name="data_descr"/>
            <w:bookmarkEnd w:id="5"/>
            <w:r w:rsidRPr="009444B6">
              <w:rPr>
                <w:b/>
                <w:bCs/>
                <w:sz w:val="22"/>
                <w:szCs w:val="22"/>
                <w:lang w:val="ro-RO"/>
              </w:rPr>
              <w:t>2.1. Descrierea sursei</w:t>
            </w:r>
          </w:p>
        </w:tc>
      </w:tr>
      <w:tr w:rsidR="00DD20AF" w:rsidRPr="0038436D" w:rsidTr="004E5713">
        <w:trPr>
          <w:divId w:val="530731735"/>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D20AF" w:rsidRPr="00661539" w:rsidRDefault="00DD20AF" w:rsidP="00DD20AF">
            <w:pPr>
              <w:spacing w:before="30" w:after="30"/>
              <w:jc w:val="both"/>
              <w:rPr>
                <w:sz w:val="22"/>
                <w:szCs w:val="22"/>
                <w:lang w:val="ro-RO"/>
              </w:rPr>
            </w:pPr>
            <w:r w:rsidRPr="00661539">
              <w:rPr>
                <w:sz w:val="22"/>
                <w:szCs w:val="22"/>
                <w:lang w:val="ro-RO"/>
              </w:rPr>
              <w:t>Ancheta privind formarea profesională continuă (FORPRO) colectează informații despre investițiile întreprinderilor în formarea profesională continuă a personalului lor. Formarea profesională continuă (FPC) reprezintă ansamblul de măsuri sau activități de educație sau formare care sunt finanțate în totalitate sau cel puțin parțial de întreprindere (direct sau indirect). Finanțarea parțială ar putea include utilizarea timpului de lucru pentru activitatea de formare profesională, precum și finanțarea echipamentelor de instruire.</w:t>
            </w:r>
          </w:p>
          <w:p w:rsidR="00DD20AF" w:rsidRPr="00661539" w:rsidRDefault="00DD20AF" w:rsidP="00DD20AF">
            <w:pPr>
              <w:spacing w:before="30" w:after="30"/>
              <w:rPr>
                <w:sz w:val="22"/>
                <w:szCs w:val="22"/>
                <w:lang w:val="ro-RO"/>
              </w:rPr>
            </w:pPr>
            <w:r w:rsidRPr="00661539">
              <w:rPr>
                <w:sz w:val="22"/>
                <w:szCs w:val="22"/>
                <w:lang w:val="ro-RO"/>
              </w:rPr>
              <w:t>Informaţiile colectate prin anchetă (FORPRO) se grupează în următoarele categorii:</w:t>
            </w:r>
          </w:p>
          <w:p w:rsidR="00DD20AF" w:rsidRPr="00661539" w:rsidRDefault="00DD20AF" w:rsidP="00902A9C">
            <w:pPr>
              <w:numPr>
                <w:ilvl w:val="0"/>
                <w:numId w:val="4"/>
              </w:numPr>
              <w:ind w:left="950"/>
              <w:rPr>
                <w:sz w:val="22"/>
                <w:szCs w:val="22"/>
                <w:lang w:val="ro-RO"/>
              </w:rPr>
            </w:pPr>
            <w:r w:rsidRPr="00661539">
              <w:rPr>
                <w:sz w:val="22"/>
                <w:szCs w:val="22"/>
                <w:lang w:val="ro-RO"/>
              </w:rPr>
              <w:t xml:space="preserve">Întreprinderi care au oferit/nu au oferit formare profesională </w:t>
            </w:r>
          </w:p>
          <w:p w:rsidR="00DD20AF" w:rsidRPr="00661539" w:rsidRDefault="00DD20AF" w:rsidP="00902A9C">
            <w:pPr>
              <w:numPr>
                <w:ilvl w:val="0"/>
                <w:numId w:val="4"/>
              </w:numPr>
              <w:ind w:left="950"/>
              <w:rPr>
                <w:sz w:val="22"/>
                <w:szCs w:val="22"/>
                <w:lang w:val="ro-RO"/>
              </w:rPr>
            </w:pPr>
            <w:r w:rsidRPr="00661539">
              <w:rPr>
                <w:sz w:val="22"/>
                <w:szCs w:val="22"/>
                <w:lang w:val="ro-RO"/>
              </w:rPr>
              <w:t>Participarea la formarea profesională continuă</w:t>
            </w:r>
          </w:p>
          <w:p w:rsidR="00DD20AF" w:rsidRPr="00661539" w:rsidRDefault="00DD20AF" w:rsidP="00902A9C">
            <w:pPr>
              <w:numPr>
                <w:ilvl w:val="0"/>
                <w:numId w:val="4"/>
              </w:numPr>
              <w:ind w:left="950"/>
              <w:rPr>
                <w:sz w:val="22"/>
                <w:szCs w:val="22"/>
                <w:lang w:val="ro-RO"/>
              </w:rPr>
            </w:pPr>
            <w:r w:rsidRPr="00661539">
              <w:rPr>
                <w:sz w:val="22"/>
                <w:szCs w:val="22"/>
                <w:lang w:val="ro-RO"/>
              </w:rPr>
              <w:t>Planificarea și evaluarea formării profesionale continue</w:t>
            </w:r>
          </w:p>
          <w:p w:rsidR="00DD20AF" w:rsidRPr="00661539" w:rsidRDefault="00DD20AF" w:rsidP="00902A9C">
            <w:pPr>
              <w:numPr>
                <w:ilvl w:val="0"/>
                <w:numId w:val="4"/>
              </w:numPr>
              <w:ind w:left="950"/>
              <w:rPr>
                <w:sz w:val="22"/>
                <w:szCs w:val="22"/>
                <w:lang w:val="ro-RO"/>
              </w:rPr>
            </w:pPr>
            <w:r w:rsidRPr="00661539">
              <w:rPr>
                <w:sz w:val="22"/>
                <w:szCs w:val="22"/>
                <w:lang w:val="ro-RO"/>
              </w:rPr>
              <w:t>Costul cursurilor de formare profesională continuă</w:t>
            </w:r>
          </w:p>
          <w:p w:rsidR="00DD20AF" w:rsidRPr="00661539" w:rsidRDefault="00DD20AF" w:rsidP="00902A9C">
            <w:pPr>
              <w:numPr>
                <w:ilvl w:val="0"/>
                <w:numId w:val="4"/>
              </w:numPr>
              <w:ind w:left="950"/>
              <w:rPr>
                <w:sz w:val="22"/>
                <w:szCs w:val="22"/>
                <w:lang w:val="ro-RO"/>
              </w:rPr>
            </w:pPr>
            <w:r w:rsidRPr="00661539">
              <w:rPr>
                <w:sz w:val="22"/>
                <w:szCs w:val="22"/>
                <w:lang w:val="ro-RO"/>
              </w:rPr>
              <w:t>Timpul petrecut la cursurile de formare profesională continuă</w:t>
            </w:r>
          </w:p>
          <w:p w:rsidR="00DD20AF" w:rsidRPr="00661539" w:rsidRDefault="00DD20AF" w:rsidP="00DD20AF">
            <w:pPr>
              <w:spacing w:before="30" w:after="30"/>
              <w:jc w:val="both"/>
              <w:rPr>
                <w:sz w:val="22"/>
                <w:szCs w:val="22"/>
                <w:lang w:val="ro-RO"/>
              </w:rPr>
            </w:pPr>
            <w:r w:rsidRPr="00661539">
              <w:rPr>
                <w:sz w:val="22"/>
                <w:szCs w:val="22"/>
                <w:lang w:val="ro-RO"/>
              </w:rPr>
              <w:t xml:space="preserve"> Pentru informații suplimentare se poate consulta legislația care stă la baza anchetei FORPRO (</w:t>
            </w:r>
            <w:hyperlink r:id="rId12" w:tgtFrame="_blank" w:history="1">
              <w:r w:rsidRPr="00661539">
                <w:rPr>
                  <w:color w:val="0F4BA0"/>
                  <w:sz w:val="22"/>
                  <w:szCs w:val="22"/>
                  <w:u w:val="single"/>
                  <w:lang w:val="ro-RO"/>
                </w:rPr>
                <w:t>http://ec.europa.eu/eurostat/web/education-and-training/legislation</w:t>
              </w:r>
            </w:hyperlink>
            <w:r w:rsidRPr="00661539">
              <w:rPr>
                <w:sz w:val="22"/>
                <w:szCs w:val="22"/>
                <w:lang w:val="ro-RO"/>
              </w:rPr>
              <w:t>) și manualul de implementare (</w:t>
            </w:r>
            <w:hyperlink r:id="rId13" w:tgtFrame="_blank" w:history="1">
              <w:r w:rsidRPr="00661539">
                <w:rPr>
                  <w:color w:val="0F4BA0"/>
                  <w:sz w:val="22"/>
                  <w:szCs w:val="22"/>
                  <w:u w:val="single"/>
                  <w:lang w:val="ro-RO"/>
                </w:rPr>
                <w:t>http://ec.europa.eu/eurostat/web/education-and-training/methodology</w:t>
              </w:r>
            </w:hyperlink>
            <w:r w:rsidRPr="00661539">
              <w:rPr>
                <w:sz w:val="22"/>
                <w:szCs w:val="22"/>
                <w:lang w:val="ro-RO"/>
              </w:rPr>
              <w:t>).</w:t>
            </w:r>
          </w:p>
          <w:p w:rsidR="00DD20AF" w:rsidRPr="00661539" w:rsidRDefault="00DD20AF" w:rsidP="00DD20AF">
            <w:pPr>
              <w:spacing w:before="30" w:after="30"/>
              <w:jc w:val="both"/>
              <w:rPr>
                <w:sz w:val="22"/>
                <w:szCs w:val="22"/>
                <w:lang w:val="ro-RO"/>
              </w:rPr>
            </w:pPr>
            <w:r w:rsidRPr="00661539">
              <w:rPr>
                <w:rStyle w:val="Strong"/>
                <w:sz w:val="22"/>
                <w:szCs w:val="22"/>
                <w:lang w:val="ro-RO"/>
              </w:rPr>
              <w:lastRenderedPageBreak/>
              <w:t xml:space="preserve">Obiectivul principal </w:t>
            </w:r>
            <w:r w:rsidRPr="00661539">
              <w:rPr>
                <w:sz w:val="22"/>
                <w:szCs w:val="22"/>
                <w:lang w:val="ro-RO"/>
              </w:rPr>
              <w:t>al anchetei privind formarea profesională în România (FORPRO) este acela de a furniza informaţii referitoare la:</w:t>
            </w:r>
          </w:p>
          <w:p w:rsidR="00DD20AF" w:rsidRPr="00661539" w:rsidRDefault="00DD20AF" w:rsidP="00DD20AF">
            <w:pPr>
              <w:spacing w:before="30" w:after="30"/>
              <w:rPr>
                <w:rStyle w:val="Emphasis"/>
                <w:sz w:val="22"/>
                <w:szCs w:val="22"/>
                <w:lang w:val="ro-RO"/>
              </w:rPr>
            </w:pPr>
            <w:r w:rsidRPr="00661539">
              <w:rPr>
                <w:sz w:val="22"/>
                <w:szCs w:val="22"/>
                <w:lang w:val="ro-RO"/>
              </w:rPr>
              <w:t xml:space="preserve">- </w:t>
            </w:r>
            <w:r w:rsidRPr="00661539">
              <w:rPr>
                <w:rStyle w:val="Emphasis"/>
                <w:sz w:val="22"/>
                <w:szCs w:val="22"/>
                <w:lang w:val="ro-RO"/>
              </w:rPr>
              <w:t>programele elaborate de întreprinderi pentru formarea profesională continuă (FPC) a angajaţilor;</w:t>
            </w:r>
            <w:r w:rsidRPr="00661539">
              <w:rPr>
                <w:sz w:val="22"/>
                <w:szCs w:val="22"/>
                <w:lang w:val="ro-RO"/>
              </w:rPr>
              <w:br/>
              <w:t xml:space="preserve">- </w:t>
            </w:r>
            <w:r w:rsidRPr="00661539">
              <w:rPr>
                <w:rStyle w:val="Emphasis"/>
                <w:sz w:val="22"/>
                <w:szCs w:val="22"/>
                <w:lang w:val="ro-RO"/>
              </w:rPr>
              <w:t>volumul şi caracteristicile formării profesionale continue (FPC).</w:t>
            </w:r>
          </w:p>
          <w:p w:rsidR="00DD20AF" w:rsidRPr="00661539" w:rsidRDefault="00DD20AF" w:rsidP="00DD20AF">
            <w:pPr>
              <w:spacing w:before="30" w:after="30"/>
              <w:jc w:val="both"/>
              <w:rPr>
                <w:sz w:val="22"/>
                <w:szCs w:val="22"/>
                <w:lang w:val="ro-RO"/>
              </w:rPr>
            </w:pPr>
            <w:r w:rsidRPr="00661539">
              <w:rPr>
                <w:sz w:val="22"/>
                <w:szCs w:val="22"/>
                <w:lang w:val="ro-RO"/>
              </w:rPr>
              <w:t>Ancheta oferă informații despre toate tipurile de formare profesională furnizate de întreprinderi angajaților.</w:t>
            </w:r>
          </w:p>
          <w:p w:rsidR="00DD20AF" w:rsidRPr="00661539" w:rsidRDefault="00DD20AF" w:rsidP="00DD20AF">
            <w:pPr>
              <w:spacing w:before="30" w:after="30"/>
              <w:jc w:val="both"/>
              <w:rPr>
                <w:sz w:val="22"/>
                <w:szCs w:val="22"/>
                <w:lang w:val="ro-RO"/>
              </w:rPr>
            </w:pPr>
            <w:r w:rsidRPr="00661539">
              <w:rPr>
                <w:sz w:val="22"/>
                <w:szCs w:val="22"/>
                <w:lang w:val="ro-RO"/>
              </w:rPr>
              <w:t>Proiectarea instrumentarului anchetei s-a realizat în conformitate cu recomandările și standardele Uniunii Europene prevăzute în:</w:t>
            </w:r>
          </w:p>
          <w:p w:rsidR="00DD20AF" w:rsidRPr="00661539" w:rsidRDefault="00DD20AF" w:rsidP="00DD20AF">
            <w:pPr>
              <w:spacing w:before="30" w:after="30"/>
              <w:jc w:val="both"/>
              <w:rPr>
                <w:sz w:val="22"/>
                <w:szCs w:val="22"/>
                <w:lang w:val="ro-RO"/>
              </w:rPr>
            </w:pPr>
            <w:r w:rsidRPr="00661539">
              <w:rPr>
                <w:sz w:val="22"/>
                <w:szCs w:val="22"/>
                <w:lang w:val="ro-RO"/>
              </w:rPr>
              <w:t>- Regulamentul Consiliului şi Parlamentului European nr.1552/2005 privind statisticile formării profesionale în întreprinderi, Regulamentul Comisiei nr. 1153/2014 de modificare a Regulamentului (CE) nr. 198/2006 în ceea ce privește datele care trebuie colectate și cerințele referitoare la eșantionare, precizie și calitate,</w:t>
            </w:r>
          </w:p>
          <w:p w:rsidR="00DD20AF" w:rsidRPr="00661539" w:rsidRDefault="00DD20AF" w:rsidP="00DD20AF">
            <w:pPr>
              <w:spacing w:before="30" w:after="30"/>
              <w:jc w:val="both"/>
              <w:rPr>
                <w:sz w:val="22"/>
                <w:szCs w:val="22"/>
                <w:lang w:val="ro-RO"/>
              </w:rPr>
            </w:pPr>
            <w:r w:rsidRPr="00661539">
              <w:rPr>
                <w:sz w:val="22"/>
                <w:szCs w:val="22"/>
                <w:lang w:val="ro-RO"/>
              </w:rPr>
              <w:t>- manualul de implementare FORPRO,</w:t>
            </w:r>
          </w:p>
          <w:p w:rsidR="00DD20AF" w:rsidRPr="00661539" w:rsidRDefault="00DD20AF" w:rsidP="00DD20AF">
            <w:pPr>
              <w:spacing w:before="30" w:after="30"/>
              <w:jc w:val="both"/>
              <w:rPr>
                <w:sz w:val="22"/>
                <w:szCs w:val="22"/>
                <w:lang w:val="ro-RO"/>
              </w:rPr>
            </w:pPr>
            <w:r w:rsidRPr="00661539">
              <w:rPr>
                <w:sz w:val="22"/>
                <w:szCs w:val="22"/>
                <w:lang w:val="ro-RO"/>
              </w:rPr>
              <w:t>- caracteristicile naționale.</w:t>
            </w:r>
          </w:p>
          <w:p w:rsidR="00DD20AF" w:rsidRPr="00661539" w:rsidRDefault="00DD20AF" w:rsidP="00DD20AF">
            <w:pPr>
              <w:spacing w:before="30" w:after="30"/>
              <w:jc w:val="both"/>
              <w:rPr>
                <w:sz w:val="22"/>
                <w:szCs w:val="22"/>
                <w:lang w:val="ro-RO"/>
              </w:rPr>
            </w:pPr>
            <w:r w:rsidRPr="00661539">
              <w:rPr>
                <w:sz w:val="22"/>
                <w:szCs w:val="22"/>
                <w:lang w:val="ro-RO"/>
              </w:rPr>
              <w:t>Rezultatele anchetei privind formarea profesională continuă, corelate cu informațiile furnizate de alte anchete, sunt utilizate de factorii de decizie în stabilirea acțiunilor și măsurilor pentru strategiile de dezvoltare economică și socială, precum și pentru implementarea programelor privind măsurile active de îmbunătățire a competențelor și calificărilor forței de muncă în vederea sporirii gradului de acces pe piaţa muncii.</w:t>
            </w:r>
          </w:p>
        </w:tc>
      </w:tr>
      <w:tr w:rsidR="00DD20AF" w:rsidRPr="0038436D" w:rsidTr="004E5713">
        <w:trPr>
          <w:divId w:val="530731735"/>
        </w:trPr>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D20AF" w:rsidRPr="00661539" w:rsidRDefault="00661539" w:rsidP="00DD20AF">
            <w:pPr>
              <w:rPr>
                <w:rFonts w:ascii="Bookman Old Style" w:hAnsi="Bookman Old Style"/>
                <w:b/>
                <w:bCs/>
                <w:sz w:val="20"/>
                <w:szCs w:val="20"/>
                <w:lang w:val="ro-RO"/>
              </w:rPr>
            </w:pPr>
            <w:bookmarkStart w:id="6" w:name="class_system"/>
            <w:bookmarkEnd w:id="6"/>
            <w:r w:rsidRPr="00661539">
              <w:rPr>
                <w:b/>
                <w:bCs/>
                <w:sz w:val="22"/>
                <w:szCs w:val="22"/>
                <w:lang w:val="ro-RO"/>
              </w:rPr>
              <w:lastRenderedPageBreak/>
              <w:t>2.2. Clasificarea utilizată</w:t>
            </w:r>
          </w:p>
        </w:tc>
      </w:tr>
      <w:tr w:rsidR="00DD20AF" w:rsidRPr="0038436D" w:rsidTr="004E5713">
        <w:trPr>
          <w:divId w:val="530731735"/>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661539" w:rsidRPr="00661539" w:rsidRDefault="00661539" w:rsidP="00661539">
            <w:pPr>
              <w:jc w:val="both"/>
              <w:rPr>
                <w:sz w:val="22"/>
                <w:szCs w:val="22"/>
                <w:lang w:val="ro-RO"/>
              </w:rPr>
            </w:pPr>
            <w:r w:rsidRPr="00661539">
              <w:rPr>
                <w:sz w:val="22"/>
                <w:szCs w:val="22"/>
                <w:lang w:val="ro-RO"/>
              </w:rPr>
              <w:t>Clasificarea standard utilizată:</w:t>
            </w:r>
          </w:p>
          <w:p w:rsidR="00DD20AF" w:rsidRPr="00661539" w:rsidRDefault="00661539" w:rsidP="00902A9C">
            <w:pPr>
              <w:numPr>
                <w:ilvl w:val="0"/>
                <w:numId w:val="1"/>
              </w:numPr>
              <w:jc w:val="both"/>
              <w:rPr>
                <w:rFonts w:ascii="Bookman Old Style" w:hAnsi="Bookman Old Style"/>
                <w:sz w:val="20"/>
                <w:szCs w:val="20"/>
                <w:lang w:val="ro-RO"/>
              </w:rPr>
            </w:pPr>
            <w:r w:rsidRPr="00661539">
              <w:rPr>
                <w:rStyle w:val="Strong"/>
                <w:sz w:val="22"/>
                <w:szCs w:val="22"/>
                <w:lang w:val="ro-RO"/>
              </w:rPr>
              <w:t>Clasificarea Activităţilor din Economia Naţională (CAEN Rev.2)</w:t>
            </w:r>
            <w:r w:rsidRPr="00661539">
              <w:rPr>
                <w:sz w:val="22"/>
                <w:szCs w:val="22"/>
                <w:lang w:val="ro-RO"/>
              </w:rPr>
              <w:t xml:space="preserve">, armonizată cu clasificarea europeană în domeniu </w:t>
            </w:r>
            <w:r w:rsidRPr="00661539">
              <w:rPr>
                <w:b/>
                <w:sz w:val="22"/>
                <w:szCs w:val="22"/>
                <w:lang w:val="ro-RO"/>
              </w:rPr>
              <w:t>(NACE Rev.2)</w:t>
            </w:r>
            <w:r w:rsidRPr="00661539">
              <w:rPr>
                <w:sz w:val="22"/>
                <w:szCs w:val="22"/>
                <w:lang w:val="ro-RO"/>
              </w:rPr>
              <w:t>.</w:t>
            </w:r>
          </w:p>
        </w:tc>
      </w:tr>
      <w:tr w:rsidR="00DD20AF" w:rsidRPr="0038436D" w:rsidTr="004E5713">
        <w:trPr>
          <w:divId w:val="530731735"/>
        </w:trPr>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D20AF" w:rsidRPr="00661539" w:rsidRDefault="00661539" w:rsidP="00DD20AF">
            <w:pPr>
              <w:jc w:val="both"/>
              <w:rPr>
                <w:rFonts w:ascii="Bookman Old Style" w:hAnsi="Bookman Old Style"/>
                <w:b/>
                <w:bCs/>
                <w:sz w:val="20"/>
                <w:szCs w:val="20"/>
                <w:lang w:val="ro-RO"/>
              </w:rPr>
            </w:pPr>
            <w:bookmarkStart w:id="7" w:name="coverage_sector"/>
            <w:bookmarkEnd w:id="7"/>
            <w:r w:rsidRPr="00661539">
              <w:rPr>
                <w:b/>
                <w:bCs/>
                <w:sz w:val="22"/>
                <w:szCs w:val="22"/>
                <w:lang w:val="ro-RO"/>
              </w:rPr>
              <w:t>2.3.</w:t>
            </w:r>
            <w:r w:rsidRPr="00661539">
              <w:rPr>
                <w:lang w:val="ro-RO"/>
              </w:rPr>
              <w:t xml:space="preserve"> </w:t>
            </w:r>
            <w:r w:rsidRPr="00661539">
              <w:rPr>
                <w:b/>
                <w:bCs/>
                <w:sz w:val="22"/>
                <w:szCs w:val="22"/>
                <w:lang w:val="ro-RO"/>
              </w:rPr>
              <w:t>Sfera de acoperire – secţiuni</w:t>
            </w:r>
          </w:p>
        </w:tc>
      </w:tr>
      <w:tr w:rsidR="00DD20AF" w:rsidRPr="0038436D" w:rsidTr="004E5713">
        <w:trPr>
          <w:divId w:val="530731735"/>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661539" w:rsidRPr="00661539" w:rsidRDefault="00661539" w:rsidP="00661539">
            <w:pPr>
              <w:jc w:val="both"/>
              <w:rPr>
                <w:sz w:val="22"/>
                <w:szCs w:val="22"/>
                <w:lang w:val="ro-RO"/>
              </w:rPr>
            </w:pPr>
            <w:r w:rsidRPr="00661539">
              <w:rPr>
                <w:sz w:val="22"/>
                <w:szCs w:val="22"/>
                <w:lang w:val="ro-RO"/>
              </w:rPr>
              <w:t>Ancheta FORPRO acoperă toate activităţile economice definite în secțiunile B-N și R-S</w:t>
            </w:r>
            <w:r w:rsidRPr="00661539">
              <w:rPr>
                <w:lang w:val="ro-RO"/>
              </w:rPr>
              <w:t xml:space="preserve"> </w:t>
            </w:r>
            <w:r w:rsidRPr="00661539">
              <w:rPr>
                <w:sz w:val="22"/>
                <w:szCs w:val="22"/>
                <w:lang w:val="ro-RO"/>
              </w:rPr>
              <w:t>conform CAEN Rev.2.</w:t>
            </w:r>
          </w:p>
          <w:p w:rsidR="00661539" w:rsidRPr="00661539" w:rsidRDefault="00661539" w:rsidP="00661539">
            <w:pPr>
              <w:jc w:val="both"/>
              <w:rPr>
                <w:sz w:val="22"/>
                <w:szCs w:val="22"/>
                <w:lang w:val="ro-RO"/>
              </w:rPr>
            </w:pPr>
            <w:r w:rsidRPr="00661539">
              <w:rPr>
                <w:sz w:val="22"/>
                <w:szCs w:val="22"/>
                <w:lang w:val="ro-RO"/>
              </w:rPr>
              <w:t xml:space="preserve">Întreprinderile sunt grupate în principal după </w:t>
            </w:r>
            <w:r w:rsidRPr="00661539">
              <w:rPr>
                <w:b/>
                <w:sz w:val="22"/>
                <w:szCs w:val="22"/>
                <w:lang w:val="ro-RO"/>
              </w:rPr>
              <w:t>activități economice</w:t>
            </w:r>
            <w:r w:rsidRPr="00661539">
              <w:rPr>
                <w:sz w:val="22"/>
                <w:szCs w:val="22"/>
                <w:lang w:val="ro-RO"/>
              </w:rPr>
              <w:t xml:space="preserve"> (CAEN Rev.2), </w:t>
            </w:r>
            <w:r w:rsidRPr="00661539">
              <w:rPr>
                <w:b/>
                <w:sz w:val="22"/>
                <w:szCs w:val="22"/>
                <w:lang w:val="ro-RO"/>
              </w:rPr>
              <w:t xml:space="preserve">clase de mărime </w:t>
            </w:r>
            <w:r w:rsidRPr="00661539">
              <w:rPr>
                <w:sz w:val="22"/>
                <w:szCs w:val="22"/>
                <w:lang w:val="ro-RO"/>
              </w:rPr>
              <w:t>și întreprinderi care au oferit/nu au oferit formare profesională.</w:t>
            </w:r>
          </w:p>
          <w:p w:rsidR="00661539" w:rsidRPr="00661539" w:rsidRDefault="00661539" w:rsidP="00902A9C">
            <w:pPr>
              <w:numPr>
                <w:ilvl w:val="0"/>
                <w:numId w:val="1"/>
              </w:numPr>
              <w:jc w:val="both"/>
              <w:rPr>
                <w:sz w:val="22"/>
                <w:szCs w:val="22"/>
                <w:lang w:val="ro-RO"/>
              </w:rPr>
            </w:pPr>
            <w:r w:rsidRPr="00661539">
              <w:rPr>
                <w:sz w:val="22"/>
                <w:szCs w:val="22"/>
                <w:lang w:val="ro-RO"/>
              </w:rPr>
              <w:t>20 de grupări CAEN Rev. 2 [B, C10-C12, C13-C15, C17-C18, C19-C23, C24-C25, C26-C28+C33, C29-C30, C16+C31-C32, D-E, F, G45, G46, G47, H, I, J, K64-K65, K66, L+M+N+R+S];</w:t>
            </w:r>
          </w:p>
          <w:p w:rsidR="00DD20AF" w:rsidRPr="00661539" w:rsidRDefault="00661539" w:rsidP="00902A9C">
            <w:pPr>
              <w:numPr>
                <w:ilvl w:val="0"/>
                <w:numId w:val="1"/>
              </w:numPr>
              <w:jc w:val="both"/>
              <w:rPr>
                <w:rFonts w:ascii="Bookman Old Style" w:hAnsi="Bookman Old Style"/>
                <w:b/>
                <w:bCs/>
                <w:sz w:val="20"/>
                <w:szCs w:val="20"/>
                <w:lang w:val="ro-RO"/>
              </w:rPr>
            </w:pPr>
            <w:r w:rsidRPr="00661539">
              <w:rPr>
                <w:sz w:val="22"/>
                <w:szCs w:val="22"/>
                <w:lang w:val="ro-RO"/>
              </w:rPr>
              <w:t>3 clase de mărime ale întreprinderilor, în funcție de numărul de salariați: (10-49), (50-249) și 250 și peste.</w:t>
            </w:r>
            <w:bookmarkStart w:id="8" w:name="_GoBack"/>
            <w:bookmarkEnd w:id="8"/>
          </w:p>
        </w:tc>
      </w:tr>
      <w:tr w:rsidR="00DD20AF" w:rsidRPr="0038436D" w:rsidTr="004E5713">
        <w:trPr>
          <w:divId w:val="530731735"/>
        </w:trPr>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D20AF" w:rsidRPr="00661539" w:rsidRDefault="00661539" w:rsidP="00DD20AF">
            <w:pPr>
              <w:jc w:val="both"/>
              <w:rPr>
                <w:rFonts w:ascii="Bookman Old Style" w:hAnsi="Bookman Old Style"/>
                <w:b/>
                <w:bCs/>
                <w:sz w:val="20"/>
                <w:szCs w:val="20"/>
                <w:lang w:val="ro-RO"/>
              </w:rPr>
            </w:pPr>
            <w:bookmarkStart w:id="9" w:name="stat_conc_def"/>
            <w:bookmarkEnd w:id="9"/>
            <w:r w:rsidRPr="00661539">
              <w:rPr>
                <w:b/>
                <w:bCs/>
                <w:sz w:val="22"/>
                <w:szCs w:val="22"/>
                <w:lang w:val="ro-RO"/>
              </w:rPr>
              <w:t>2.4. Definiţii şi concepte statistice</w:t>
            </w:r>
          </w:p>
        </w:tc>
      </w:tr>
      <w:tr w:rsidR="00DD20AF" w:rsidRPr="0038436D" w:rsidTr="004E5713">
        <w:trPr>
          <w:divId w:val="530731735"/>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D20AF" w:rsidRPr="00661539" w:rsidRDefault="00661539" w:rsidP="00DD20AF">
            <w:pPr>
              <w:spacing w:before="60"/>
              <w:jc w:val="both"/>
              <w:rPr>
                <w:rFonts w:ascii="Bookman Old Style" w:hAnsi="Bookman Old Style"/>
                <w:sz w:val="20"/>
                <w:szCs w:val="20"/>
                <w:lang w:val="ro-RO"/>
              </w:rPr>
            </w:pPr>
            <w:r w:rsidRPr="00661539">
              <w:rPr>
                <w:sz w:val="22"/>
                <w:szCs w:val="22"/>
                <w:lang w:val="ro-RO"/>
              </w:rPr>
              <w:t>Definițiile, precum și lista variabilelor din ancheta privind formarea profesională continuă au fost elaborate și adoptate în conformitate cu standardele europene: Regulamentul Consiliului şi Parlamentului European nr.1552/2005 privind statisticile formării profesionale în întreprinderi, Regulamentul Comisiei nr. 1153/2014 de modificare a Regulamentului (CE) nr. 198/2006 în ceea ce privește datele care trebuie colectate și cerințele referitoare la eșantionare, precizie și calitate; manualul de implementare FORPRO, dar și ținând cont de caracteristicile naționale.</w:t>
            </w:r>
          </w:p>
        </w:tc>
      </w:tr>
      <w:tr w:rsidR="00DD20AF" w:rsidRPr="0038436D" w:rsidTr="004E5713">
        <w:trPr>
          <w:divId w:val="530731735"/>
        </w:trPr>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D20AF" w:rsidRPr="00661539" w:rsidRDefault="00661539" w:rsidP="00DD20AF">
            <w:pPr>
              <w:jc w:val="both"/>
              <w:rPr>
                <w:rFonts w:ascii="Bookman Old Style" w:hAnsi="Bookman Old Style"/>
                <w:b/>
                <w:bCs/>
                <w:sz w:val="20"/>
                <w:szCs w:val="20"/>
                <w:lang w:val="ro-RO"/>
              </w:rPr>
            </w:pPr>
            <w:bookmarkStart w:id="10" w:name="stat_unit"/>
            <w:bookmarkEnd w:id="10"/>
            <w:r w:rsidRPr="00661539">
              <w:rPr>
                <w:b/>
                <w:bCs/>
                <w:sz w:val="22"/>
                <w:szCs w:val="22"/>
                <w:lang w:val="ro-RO"/>
              </w:rPr>
              <w:t>2.5. Unitatea statistică</w:t>
            </w:r>
          </w:p>
        </w:tc>
      </w:tr>
      <w:tr w:rsidR="00DD20AF" w:rsidRPr="00A34C2C" w:rsidTr="004E5713">
        <w:trPr>
          <w:divId w:val="530731735"/>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661539" w:rsidRPr="00A34C2C" w:rsidRDefault="00661539" w:rsidP="00661539">
            <w:pPr>
              <w:spacing w:before="30" w:after="30"/>
              <w:jc w:val="both"/>
              <w:rPr>
                <w:sz w:val="22"/>
                <w:szCs w:val="22"/>
                <w:lang w:val="ro-RO"/>
              </w:rPr>
            </w:pPr>
            <w:r w:rsidRPr="00A34C2C">
              <w:rPr>
                <w:rStyle w:val="Strong"/>
                <w:sz w:val="22"/>
                <w:szCs w:val="22"/>
                <w:lang w:val="ro-RO"/>
              </w:rPr>
              <w:t xml:space="preserve">Unitatea de selecție </w:t>
            </w:r>
            <w:r w:rsidRPr="00A34C2C">
              <w:rPr>
                <w:sz w:val="22"/>
                <w:szCs w:val="22"/>
                <w:lang w:val="ro-RO"/>
              </w:rPr>
              <w:t xml:space="preserve">a fost </w:t>
            </w:r>
            <w:r w:rsidRPr="00A34C2C">
              <w:rPr>
                <w:rStyle w:val="Strong"/>
                <w:sz w:val="22"/>
                <w:szCs w:val="22"/>
                <w:lang w:val="ro-RO"/>
              </w:rPr>
              <w:t>întreprinderea</w:t>
            </w:r>
            <w:r w:rsidRPr="00A34C2C">
              <w:rPr>
                <w:sz w:val="22"/>
                <w:szCs w:val="22"/>
                <w:lang w:val="ro-RO"/>
              </w:rPr>
              <w:t xml:space="preserve"> definită conform regulilor comunitare pentru statistica întreprinderilor ca fiind: "cea mai mică combinaţie de unităţi legale, care constituie o unitate organizaţională de producere de bunuri sau de prestări servicii şi care are puterea de decizie asupra modului de procurare a resurselor şi de utilizare a acestora. O întrerpindere desfăşoară una sau mai multe activităţi economice în una sau mai multe locaţii. O întreprindere poate fi o singură unitate legală".</w:t>
            </w:r>
          </w:p>
          <w:p w:rsidR="00DD20AF" w:rsidRPr="00A34C2C" w:rsidRDefault="00661539" w:rsidP="00661539">
            <w:pPr>
              <w:spacing w:before="60"/>
              <w:jc w:val="both"/>
              <w:rPr>
                <w:rFonts w:ascii="Bookman Old Style" w:hAnsi="Bookman Old Style"/>
                <w:b/>
                <w:bCs/>
                <w:sz w:val="20"/>
                <w:szCs w:val="20"/>
                <w:lang w:val="ro-RO"/>
              </w:rPr>
            </w:pPr>
            <w:r w:rsidRPr="00A34C2C">
              <w:rPr>
                <w:sz w:val="22"/>
                <w:szCs w:val="22"/>
                <w:lang w:val="ro-RO"/>
              </w:rPr>
              <w:t>Ancheta a furnizat date pentru fiecare întreprindere, respectiv unitate de observare, în conformitate cu cerințele Regulamentului Consiliului nr. 1552/2005 privind statisticile referitoare la formarea profesională în întreprinderi.</w:t>
            </w:r>
          </w:p>
        </w:tc>
      </w:tr>
    </w:tbl>
    <w:p w:rsidR="00902A9C" w:rsidRPr="00902A9C" w:rsidRDefault="00902A9C" w:rsidP="00902A9C">
      <w:pPr>
        <w:rPr>
          <w:vanish/>
        </w:rPr>
      </w:pPr>
    </w:p>
    <w:tbl>
      <w:tblPr>
        <w:tblW w:w="4976" w:type="pct"/>
        <w:tblCellMar>
          <w:left w:w="0" w:type="dxa"/>
          <w:right w:w="0" w:type="dxa"/>
        </w:tblCellMar>
        <w:tblLook w:val="00A0" w:firstRow="1" w:lastRow="0" w:firstColumn="1" w:lastColumn="0" w:noHBand="0" w:noVBand="0"/>
      </w:tblPr>
      <w:tblGrid>
        <w:gridCol w:w="9848"/>
      </w:tblGrid>
      <w:tr w:rsidR="00832C90" w:rsidRPr="00A34C2C" w:rsidTr="000E4B9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A34C2C" w:rsidRDefault="00A34C2C" w:rsidP="000A77E7">
            <w:pPr>
              <w:jc w:val="both"/>
              <w:rPr>
                <w:rFonts w:ascii="Bookman Old Style" w:hAnsi="Bookman Old Style"/>
                <w:b/>
                <w:bCs/>
                <w:sz w:val="20"/>
                <w:szCs w:val="20"/>
                <w:lang w:val="ro-RO"/>
              </w:rPr>
            </w:pPr>
            <w:r w:rsidRPr="00A34C2C">
              <w:rPr>
                <w:b/>
                <w:bCs/>
                <w:sz w:val="22"/>
                <w:szCs w:val="22"/>
                <w:lang w:val="ro-RO"/>
              </w:rPr>
              <w:t>2.6. Populaţia statistică</w:t>
            </w:r>
          </w:p>
        </w:tc>
      </w:tr>
      <w:tr w:rsidR="00832C90" w:rsidRPr="00A34C2C" w:rsidTr="000E4B97">
        <w:tblPrEx>
          <w:tblCellMar>
            <w:left w:w="108" w:type="dxa"/>
            <w:right w:w="108" w:type="dxa"/>
          </w:tblCellMar>
        </w:tblPrEx>
        <w:trPr>
          <w:trHeight w:val="300"/>
        </w:trPr>
        <w:tc>
          <w:tcPr>
            <w:tcW w:w="5000" w:type="pct"/>
            <w:tcBorders>
              <w:top w:val="single" w:sz="8" w:space="0" w:color="000000"/>
              <w:left w:val="single" w:sz="8" w:space="0" w:color="000000"/>
              <w:bottom w:val="single" w:sz="8" w:space="0" w:color="000000"/>
              <w:right w:val="single" w:sz="8" w:space="0" w:color="000000"/>
            </w:tcBorders>
          </w:tcPr>
          <w:p w:rsidR="00A34C2C" w:rsidRPr="00A34C2C" w:rsidRDefault="00A34C2C" w:rsidP="00A34C2C">
            <w:pPr>
              <w:spacing w:before="30" w:after="30"/>
              <w:jc w:val="both"/>
              <w:rPr>
                <w:sz w:val="22"/>
                <w:szCs w:val="22"/>
                <w:lang w:val="ro-RO"/>
              </w:rPr>
            </w:pPr>
            <w:r w:rsidRPr="00A34C2C">
              <w:rPr>
                <w:rStyle w:val="Strong"/>
                <w:b w:val="0"/>
                <w:sz w:val="22"/>
                <w:szCs w:val="22"/>
                <w:lang w:val="ro-RO"/>
              </w:rPr>
              <w:t>Baza de sondaj utilizată a fost</w:t>
            </w:r>
            <w:r w:rsidRPr="00A34C2C">
              <w:rPr>
                <w:rStyle w:val="Strong"/>
                <w:sz w:val="22"/>
                <w:szCs w:val="22"/>
                <w:lang w:val="ro-RO"/>
              </w:rPr>
              <w:t xml:space="preserve"> Registrul Întreprinderilor din România (REGIS)</w:t>
            </w:r>
            <w:r w:rsidRPr="00A34C2C">
              <w:rPr>
                <w:rStyle w:val="Strong"/>
                <w:b w:val="0"/>
                <w:sz w:val="22"/>
                <w:szCs w:val="22"/>
                <w:lang w:val="ro-RO"/>
              </w:rPr>
              <w:t>.</w:t>
            </w:r>
            <w:r w:rsidRPr="00A34C2C">
              <w:rPr>
                <w:rStyle w:val="Strong"/>
                <w:sz w:val="22"/>
                <w:szCs w:val="22"/>
                <w:lang w:val="ro-RO"/>
              </w:rPr>
              <w:t xml:space="preserve"> </w:t>
            </w:r>
            <w:r w:rsidRPr="00A34C2C">
              <w:rPr>
                <w:sz w:val="22"/>
                <w:szCs w:val="22"/>
                <w:lang w:val="ro-RO"/>
              </w:rPr>
              <w:t xml:space="preserve">Acesta a fost proiectat şi implementat pe baza surselor administrative şi a surselor statistice. Principala sursă administrativă de date pentru REGIS este Registrul fiscal. Registrul Comerţului este folosit ca o sursă consultativă de date pentru a îmbunătăţi calitatea datelor din Registrul Întreprinderilor. Alte surse de date, folosite pentru construirea </w:t>
            </w:r>
            <w:r w:rsidRPr="00A34C2C">
              <w:rPr>
                <w:sz w:val="22"/>
                <w:szCs w:val="22"/>
                <w:lang w:val="ro-RO"/>
              </w:rPr>
              <w:lastRenderedPageBreak/>
              <w:t>Registrului Întreprinderilor din România, sunt: bilanțurile contabile, taxa pe valoarea adăugată (TVA), ancheta REGIS, realizată pentru întreprinderile noi şi care oferă informaţii cu privire la activitatea principală desfăşurată şi mărimea întreprinderilor noi, informaţii obţinute din alte anchete utilizate ca surse de date consultative pentru îmbunătățirea calității datelor din registru.</w:t>
            </w:r>
          </w:p>
          <w:p w:rsidR="00A34C2C" w:rsidRPr="00A34C2C" w:rsidRDefault="00A34C2C" w:rsidP="00A34C2C">
            <w:pPr>
              <w:spacing w:before="30" w:after="30"/>
              <w:jc w:val="both"/>
              <w:rPr>
                <w:sz w:val="22"/>
                <w:szCs w:val="22"/>
                <w:lang w:val="ro-RO"/>
              </w:rPr>
            </w:pPr>
            <w:r w:rsidRPr="00A34C2C">
              <w:rPr>
                <w:sz w:val="22"/>
                <w:szCs w:val="22"/>
                <w:lang w:val="ro-RO"/>
              </w:rPr>
              <w:t>În conformitate cu Regulamentul Consiliului, REGIS conţine următoarele tipuri de unităţi statistice: unităţi legale, întreprinderi și unităţi locale. Toate întreprinderile care desfăşoară activităţi economice cuprinse în secţiunile A-S ale clasificării CAEN Rev.2, indiferent de mărimea lor (numărul de salariați sau cifra de afaceri) , sunt cuprinse în Registrul Întreprinderilor.</w:t>
            </w:r>
          </w:p>
          <w:p w:rsidR="00A34C2C" w:rsidRPr="00A34C2C" w:rsidRDefault="00A34C2C" w:rsidP="00A34C2C">
            <w:pPr>
              <w:spacing w:before="30" w:after="30"/>
              <w:jc w:val="both"/>
              <w:rPr>
                <w:sz w:val="22"/>
                <w:szCs w:val="22"/>
                <w:lang w:val="ro-RO"/>
              </w:rPr>
            </w:pPr>
            <w:r w:rsidRPr="00A34C2C">
              <w:rPr>
                <w:sz w:val="22"/>
                <w:szCs w:val="22"/>
                <w:lang w:val="ro-RO"/>
              </w:rPr>
              <w:t>Astfel, Registrul Întreprinderilor din România cuprinde toate întreprinderile, autorităţile şi organizaţiile precum şi unităţile lor locale, care realizează o activitate economică pe teritoriul României, indiferent de mărimea acestora sau de forma lor de proprietate (sector privat sau public).</w:t>
            </w:r>
          </w:p>
          <w:p w:rsidR="00832C90" w:rsidRPr="00A34C2C" w:rsidRDefault="00A34C2C" w:rsidP="00A34C2C">
            <w:pPr>
              <w:spacing w:before="60"/>
              <w:jc w:val="both"/>
              <w:rPr>
                <w:rFonts w:ascii="Bookman Old Style" w:hAnsi="Bookman Old Style"/>
                <w:sz w:val="20"/>
                <w:szCs w:val="20"/>
                <w:lang w:val="ro-RO"/>
              </w:rPr>
            </w:pPr>
            <w:r w:rsidRPr="00A34C2C">
              <w:rPr>
                <w:rStyle w:val="Emphasis"/>
                <w:lang w:val="ro-RO"/>
              </w:rPr>
              <w:t>Baza de sondaj pentru FORPRO în</w:t>
            </w:r>
            <w:r w:rsidRPr="00A34C2C">
              <w:rPr>
                <w:sz w:val="22"/>
                <w:szCs w:val="22"/>
                <w:lang w:val="ro-RO"/>
              </w:rPr>
              <w:t xml:space="preserve"> </w:t>
            </w:r>
            <w:r w:rsidRPr="00A34C2C">
              <w:rPr>
                <w:rStyle w:val="Emphasis"/>
                <w:lang w:val="ro-RO"/>
              </w:rPr>
              <w:t xml:space="preserve">România </w:t>
            </w:r>
            <w:r w:rsidRPr="00A34C2C">
              <w:rPr>
                <w:iCs/>
                <w:sz w:val="22"/>
                <w:szCs w:val="22"/>
                <w:lang w:val="ro-RO"/>
              </w:rPr>
              <w:t>a</w:t>
            </w:r>
            <w:r w:rsidRPr="00A34C2C">
              <w:rPr>
                <w:i/>
                <w:sz w:val="22"/>
                <w:szCs w:val="22"/>
                <w:lang w:val="ro-RO"/>
              </w:rPr>
              <w:t xml:space="preserve"> </w:t>
            </w:r>
            <w:r w:rsidRPr="00A34C2C">
              <w:rPr>
                <w:sz w:val="22"/>
                <w:szCs w:val="22"/>
                <w:lang w:val="ro-RO"/>
              </w:rPr>
              <w:t>fost selectată din registrul statistic REGIS și a cuprins: toate întreprinderile create înainte de anul de referință care erau încă active și aparțineau populației statistice de interes, toate noile întreprinderi create în cursul anului de referință care erau încă active și aparțineau populației statistice de interes.</w:t>
            </w:r>
          </w:p>
        </w:tc>
      </w:tr>
      <w:tr w:rsidR="00832C90" w:rsidRPr="00A34C2C" w:rsidTr="000E4B9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A34C2C" w:rsidRDefault="00A34C2C" w:rsidP="00E566C1">
            <w:pPr>
              <w:jc w:val="both"/>
              <w:rPr>
                <w:rFonts w:ascii="Bookman Old Style" w:hAnsi="Bookman Old Style"/>
                <w:b/>
                <w:bCs/>
                <w:sz w:val="20"/>
                <w:szCs w:val="20"/>
                <w:lang w:val="ro-RO"/>
              </w:rPr>
            </w:pPr>
            <w:bookmarkStart w:id="11" w:name="ref_area"/>
            <w:bookmarkEnd w:id="11"/>
            <w:r w:rsidRPr="00A34C2C">
              <w:rPr>
                <w:b/>
                <w:bCs/>
                <w:sz w:val="22"/>
                <w:szCs w:val="22"/>
                <w:lang w:val="ro-RO"/>
              </w:rPr>
              <w:lastRenderedPageBreak/>
              <w:t>2.7. Sfera de acoperire</w:t>
            </w:r>
          </w:p>
        </w:tc>
      </w:tr>
      <w:tr w:rsidR="00A34C2C" w:rsidRPr="00A34C2C" w:rsidTr="000E4B9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34C2C" w:rsidRPr="00A34C2C" w:rsidRDefault="00A34C2C" w:rsidP="00A34C2C">
            <w:pPr>
              <w:spacing w:before="30" w:after="30"/>
              <w:jc w:val="both"/>
              <w:rPr>
                <w:sz w:val="22"/>
                <w:szCs w:val="22"/>
                <w:lang w:val="ro-RO"/>
              </w:rPr>
            </w:pPr>
            <w:r w:rsidRPr="00A34C2C">
              <w:rPr>
                <w:sz w:val="22"/>
                <w:szCs w:val="22"/>
                <w:lang w:val="ro-RO"/>
              </w:rPr>
              <w:t>Întregul teritoriu al țării este acoperit. Datele sunt disponibile şi publicate la nivel naţional (NUTS0).</w:t>
            </w:r>
          </w:p>
        </w:tc>
      </w:tr>
      <w:tr w:rsidR="00A34C2C" w:rsidRPr="00A34C2C" w:rsidTr="000E4B9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A34C2C" w:rsidRPr="00A34C2C" w:rsidRDefault="00A34C2C" w:rsidP="00A34C2C">
            <w:pPr>
              <w:jc w:val="both"/>
              <w:rPr>
                <w:rFonts w:ascii="Bookman Old Style" w:hAnsi="Bookman Old Style"/>
                <w:b/>
                <w:bCs/>
                <w:sz w:val="20"/>
                <w:szCs w:val="20"/>
                <w:lang w:val="ro-RO"/>
              </w:rPr>
            </w:pPr>
            <w:bookmarkStart w:id="12" w:name="coverage_time"/>
            <w:bookmarkEnd w:id="12"/>
            <w:r w:rsidRPr="00A34C2C">
              <w:rPr>
                <w:b/>
                <w:bCs/>
                <w:sz w:val="22"/>
                <w:szCs w:val="22"/>
                <w:lang w:val="ro-RO"/>
              </w:rPr>
              <w:t>2.8. Sfera de cuprindere – Serii de timp</w:t>
            </w:r>
          </w:p>
        </w:tc>
      </w:tr>
      <w:tr w:rsidR="00A34C2C" w:rsidRPr="00A34C2C" w:rsidTr="000E4B9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34C2C" w:rsidRPr="00A34C2C" w:rsidRDefault="00A34C2C" w:rsidP="00A34C2C">
            <w:pPr>
              <w:spacing w:before="60"/>
              <w:jc w:val="both"/>
              <w:rPr>
                <w:rFonts w:ascii="Bookman Old Style" w:hAnsi="Bookman Old Style"/>
                <w:sz w:val="20"/>
                <w:szCs w:val="20"/>
                <w:lang w:val="ro-RO"/>
              </w:rPr>
            </w:pPr>
            <w:r w:rsidRPr="00A34C2C">
              <w:rPr>
                <w:rStyle w:val="translation"/>
                <w:sz w:val="22"/>
                <w:szCs w:val="22"/>
                <w:lang w:val="ro-RO"/>
              </w:rPr>
              <w:t xml:space="preserve">Datele privind ancheta formării profesionale continue sunt disponibile începând cu anul de referință 1999 și începând cu anul 2005 la </w:t>
            </w:r>
            <w:r w:rsidRPr="00A34C2C">
              <w:rPr>
                <w:rStyle w:val="translation"/>
                <w:b/>
                <w:sz w:val="22"/>
                <w:szCs w:val="22"/>
                <w:lang w:val="ro-RO"/>
              </w:rPr>
              <w:t>fiecare cinci ani</w:t>
            </w:r>
            <w:r w:rsidRPr="00A34C2C">
              <w:rPr>
                <w:rStyle w:val="translation"/>
                <w:sz w:val="22"/>
                <w:szCs w:val="22"/>
                <w:lang w:val="ro-RO"/>
              </w:rPr>
              <w:t>, pentru anii de referință 2005, 2010 și 2015.</w:t>
            </w:r>
          </w:p>
        </w:tc>
      </w:tr>
      <w:tr w:rsidR="00A34C2C" w:rsidRPr="00A34C2C" w:rsidTr="000E4B9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A34C2C" w:rsidRPr="00A34C2C" w:rsidRDefault="00A34C2C" w:rsidP="00A34C2C">
            <w:pPr>
              <w:jc w:val="both"/>
              <w:rPr>
                <w:rFonts w:ascii="Bookman Old Style" w:hAnsi="Bookman Old Style"/>
                <w:b/>
                <w:bCs/>
                <w:sz w:val="20"/>
                <w:szCs w:val="20"/>
                <w:lang w:val="ro-RO"/>
              </w:rPr>
            </w:pPr>
            <w:bookmarkStart w:id="13" w:name="base_per"/>
            <w:bookmarkEnd w:id="13"/>
            <w:r w:rsidRPr="00A34C2C">
              <w:rPr>
                <w:b/>
                <w:bCs/>
                <w:sz w:val="22"/>
                <w:szCs w:val="22"/>
                <w:lang w:val="ro-RO"/>
              </w:rPr>
              <w:t>2.9. Perioada de bază</w:t>
            </w:r>
          </w:p>
        </w:tc>
      </w:tr>
      <w:tr w:rsidR="00A34C2C" w:rsidRPr="00A34C2C" w:rsidTr="000E4B9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34C2C" w:rsidRPr="00A34C2C" w:rsidRDefault="00A34C2C" w:rsidP="00A34C2C">
            <w:pPr>
              <w:spacing w:before="60"/>
              <w:jc w:val="both"/>
              <w:rPr>
                <w:rStyle w:val="hidden"/>
                <w:rFonts w:ascii="Bookman Old Style" w:hAnsi="Bookman Old Style"/>
                <w:sz w:val="20"/>
                <w:szCs w:val="20"/>
                <w:lang w:val="ro-RO"/>
              </w:rPr>
            </w:pPr>
            <w:r w:rsidRPr="00A34C2C">
              <w:rPr>
                <w:sz w:val="22"/>
                <w:szCs w:val="22"/>
                <w:lang w:val="ro-RO"/>
              </w:rPr>
              <w:t>Nu se aplică.</w:t>
            </w:r>
          </w:p>
        </w:tc>
      </w:tr>
    </w:tbl>
    <w:p w:rsidR="00832C90" w:rsidRPr="0038436D" w:rsidRDefault="00832C90">
      <w:pPr>
        <w:pStyle w:val="doccommon1"/>
        <w:shd w:val="clear" w:color="auto" w:fill="FFFFFF"/>
        <w:rPr>
          <w:rFonts w:ascii="Bookman Old Style" w:hAnsi="Bookman Old Style"/>
          <w:sz w:val="20"/>
          <w:szCs w:val="20"/>
          <w:lang w:val="en-GB"/>
        </w:rPr>
      </w:pPr>
    </w:p>
    <w:tbl>
      <w:tblPr>
        <w:tblW w:w="4976" w:type="pct"/>
        <w:tblCellMar>
          <w:left w:w="0" w:type="dxa"/>
          <w:right w:w="0" w:type="dxa"/>
        </w:tblCellMar>
        <w:tblLook w:val="00A0" w:firstRow="1" w:lastRow="0" w:firstColumn="1" w:lastColumn="0" w:noHBand="0" w:noVBand="0"/>
      </w:tblPr>
      <w:tblGrid>
        <w:gridCol w:w="9848"/>
      </w:tblGrid>
      <w:tr w:rsidR="00832C90"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742CA2" w:rsidRDefault="00742CA2">
            <w:pPr>
              <w:rPr>
                <w:rFonts w:ascii="Bookman Old Style" w:hAnsi="Bookman Old Style"/>
                <w:b/>
                <w:bCs/>
                <w:sz w:val="20"/>
                <w:szCs w:val="20"/>
                <w:lang w:val="ro-RO"/>
              </w:rPr>
            </w:pPr>
            <w:bookmarkStart w:id="14" w:name="stat_process1502954759597"/>
            <w:bookmarkEnd w:id="14"/>
            <w:r w:rsidRPr="00742CA2">
              <w:rPr>
                <w:b/>
                <w:bCs/>
                <w:sz w:val="32"/>
                <w:szCs w:val="32"/>
                <w:lang w:val="ro-RO"/>
              </w:rPr>
              <w:t>3. Procesarea statistică</w:t>
            </w:r>
          </w:p>
        </w:tc>
      </w:tr>
      <w:tr w:rsidR="00832C90"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742CA2" w:rsidRDefault="00742CA2">
            <w:pPr>
              <w:rPr>
                <w:rFonts w:ascii="Bookman Old Style" w:hAnsi="Bookman Old Style"/>
                <w:b/>
                <w:bCs/>
                <w:sz w:val="20"/>
                <w:szCs w:val="20"/>
                <w:lang w:val="ro-RO"/>
              </w:rPr>
            </w:pPr>
            <w:bookmarkStart w:id="15" w:name="source_type"/>
            <w:bookmarkEnd w:id="15"/>
            <w:r w:rsidRPr="00742CA2">
              <w:rPr>
                <w:b/>
                <w:bCs/>
                <w:sz w:val="22"/>
                <w:szCs w:val="22"/>
                <w:lang w:val="ro-RO"/>
              </w:rPr>
              <w:t>3.1. Sursa datelor</w:t>
            </w:r>
          </w:p>
        </w:tc>
      </w:tr>
      <w:tr w:rsidR="00832C90" w:rsidRPr="0038436D" w:rsidTr="0025236D">
        <w:trPr>
          <w:trHeight w:val="144"/>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42CA2" w:rsidRPr="00742CA2" w:rsidRDefault="00742CA2" w:rsidP="00742CA2">
            <w:pPr>
              <w:spacing w:before="30" w:after="30"/>
              <w:rPr>
                <w:sz w:val="22"/>
                <w:szCs w:val="22"/>
                <w:lang w:val="ro-RO"/>
              </w:rPr>
            </w:pPr>
            <w:r w:rsidRPr="00742CA2">
              <w:rPr>
                <w:sz w:val="22"/>
                <w:szCs w:val="22"/>
                <w:lang w:val="ro-RO"/>
              </w:rPr>
              <w:t xml:space="preserve">Ancheta formării profesionale continue (FORPRO) este o </w:t>
            </w:r>
            <w:r w:rsidRPr="00742CA2">
              <w:rPr>
                <w:b/>
                <w:sz w:val="22"/>
                <w:szCs w:val="22"/>
                <w:lang w:val="ro-RO"/>
              </w:rPr>
              <w:t>cercetare realizată în întreprinderi</w:t>
            </w:r>
            <w:r w:rsidRPr="00742CA2">
              <w:rPr>
                <w:sz w:val="22"/>
                <w:szCs w:val="22"/>
                <w:lang w:val="ro-RO"/>
              </w:rPr>
              <w:t>.</w:t>
            </w:r>
          </w:p>
          <w:p w:rsidR="00832C90" w:rsidRPr="00742CA2" w:rsidRDefault="00742CA2" w:rsidP="00742CA2">
            <w:pPr>
              <w:spacing w:before="60"/>
              <w:rPr>
                <w:rFonts w:ascii="Bookman Old Style" w:hAnsi="Bookman Old Style"/>
                <w:b/>
                <w:bCs/>
                <w:sz w:val="20"/>
                <w:szCs w:val="20"/>
                <w:lang w:val="ro-RO"/>
              </w:rPr>
            </w:pPr>
            <w:r w:rsidRPr="00742CA2">
              <w:rPr>
                <w:sz w:val="22"/>
                <w:szCs w:val="22"/>
                <w:lang w:val="ro-RO"/>
              </w:rPr>
              <w:t xml:space="preserve">Vezi </w:t>
            </w:r>
            <w:r w:rsidRPr="00742CA2">
              <w:rPr>
                <w:rStyle w:val="Emphasis"/>
                <w:b/>
                <w:bCs/>
                <w:sz w:val="22"/>
                <w:szCs w:val="22"/>
                <w:lang w:val="ro-RO"/>
              </w:rPr>
              <w:t>tabelul 3.1</w:t>
            </w:r>
            <w:r w:rsidRPr="00742CA2">
              <w:rPr>
                <w:sz w:val="22"/>
                <w:szCs w:val="22"/>
                <w:lang w:val="ro-RO"/>
              </w:rPr>
              <w:t xml:space="preserve"> din anexă 'RO - tabelele ESQRS FORPRO 2015 (excel)'.</w:t>
            </w:r>
          </w:p>
        </w:tc>
      </w:tr>
      <w:tr w:rsidR="00832C90"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742CA2" w:rsidRDefault="00742CA2">
            <w:pPr>
              <w:rPr>
                <w:rFonts w:ascii="Bookman Old Style" w:hAnsi="Bookman Old Style"/>
                <w:b/>
                <w:bCs/>
                <w:sz w:val="20"/>
                <w:szCs w:val="20"/>
                <w:lang w:val="ro-RO"/>
              </w:rPr>
            </w:pPr>
            <w:bookmarkStart w:id="16" w:name="freq_coll"/>
            <w:bookmarkEnd w:id="16"/>
            <w:r w:rsidRPr="00742CA2">
              <w:rPr>
                <w:b/>
                <w:bCs/>
                <w:sz w:val="22"/>
                <w:szCs w:val="22"/>
                <w:lang w:val="ro-RO"/>
              </w:rPr>
              <w:t>3.2. Frecvenţa colectării datelor</w:t>
            </w:r>
          </w:p>
        </w:tc>
      </w:tr>
      <w:tr w:rsidR="00832C90" w:rsidRPr="0038436D" w:rsidTr="0025236D">
        <w:trPr>
          <w:trHeight w:val="47"/>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742CA2" w:rsidRDefault="00742CA2" w:rsidP="00FA469B">
            <w:pPr>
              <w:spacing w:before="60"/>
              <w:rPr>
                <w:rFonts w:ascii="Bookman Old Style" w:hAnsi="Bookman Old Style"/>
                <w:b/>
                <w:bCs/>
                <w:sz w:val="20"/>
                <w:szCs w:val="20"/>
                <w:lang w:val="ro-RO"/>
              </w:rPr>
            </w:pPr>
            <w:r w:rsidRPr="00742CA2">
              <w:rPr>
                <w:sz w:val="22"/>
                <w:szCs w:val="22"/>
                <w:lang w:val="ro-RO"/>
              </w:rPr>
              <w:t>FORPRO se realizează la fiecare 5 ani, începând cu anul de referință 2005.</w:t>
            </w:r>
          </w:p>
        </w:tc>
      </w:tr>
      <w:tr w:rsidR="00832C90"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742CA2" w:rsidRDefault="00742CA2">
            <w:pPr>
              <w:rPr>
                <w:rFonts w:ascii="Bookman Old Style" w:hAnsi="Bookman Old Style"/>
                <w:b/>
                <w:bCs/>
                <w:sz w:val="20"/>
                <w:szCs w:val="20"/>
                <w:lang w:val="ro-RO"/>
              </w:rPr>
            </w:pPr>
            <w:bookmarkStart w:id="17" w:name="coll_method"/>
            <w:bookmarkEnd w:id="17"/>
            <w:r w:rsidRPr="00742CA2">
              <w:rPr>
                <w:b/>
                <w:bCs/>
                <w:sz w:val="22"/>
                <w:szCs w:val="22"/>
                <w:lang w:val="ro-RO"/>
              </w:rPr>
              <w:t>3.3. Colectarea datelor</w:t>
            </w:r>
          </w:p>
        </w:tc>
      </w:tr>
      <w:tr w:rsidR="00832C90" w:rsidRPr="0038436D" w:rsidTr="0025236D">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42CA2" w:rsidRPr="00742CA2" w:rsidRDefault="00742CA2" w:rsidP="00742CA2">
            <w:pPr>
              <w:spacing w:before="30" w:after="30"/>
              <w:jc w:val="both"/>
              <w:rPr>
                <w:sz w:val="22"/>
                <w:szCs w:val="22"/>
                <w:lang w:val="ro-RO"/>
              </w:rPr>
            </w:pPr>
            <w:r w:rsidRPr="00742CA2">
              <w:rPr>
                <w:sz w:val="22"/>
                <w:szCs w:val="22"/>
                <w:lang w:val="ro-RO"/>
              </w:rPr>
              <w:t>Metoda de colectare a datelor a fost cea a autoînregistrării. Informaţiile aferente variabilelor au fost colectate on line prin intermediul portalului web pentru preluarea online a datelor statistice (</w:t>
            </w:r>
            <w:hyperlink r:id="rId14" w:history="1">
              <w:r w:rsidRPr="00742CA2">
                <w:rPr>
                  <w:color w:val="0F4BA0"/>
                  <w:sz w:val="22"/>
                  <w:szCs w:val="22"/>
                  <w:u w:val="single"/>
                  <w:lang w:val="ro-RO"/>
                </w:rPr>
                <w:t>http://www.insse.ro/cms/files/Site_eSOP_v2/index.html</w:t>
              </w:r>
            </w:hyperlink>
            <w:r w:rsidRPr="00742CA2">
              <w:rPr>
                <w:sz w:val="22"/>
                <w:szCs w:val="22"/>
                <w:lang w:val="ro-RO"/>
              </w:rPr>
              <w:t>) sau pe suport hârtie prin intermediul chestionarelor postate pe site-ul INS şi transmise prin poştă direcțiilor teritoriale de statistică.</w:t>
            </w:r>
          </w:p>
          <w:p w:rsidR="00742CA2" w:rsidRPr="00742CA2" w:rsidRDefault="00742CA2" w:rsidP="00742CA2">
            <w:pPr>
              <w:spacing w:before="30" w:after="30"/>
              <w:rPr>
                <w:sz w:val="22"/>
                <w:szCs w:val="22"/>
                <w:lang w:val="ro-RO"/>
              </w:rPr>
            </w:pPr>
            <w:r w:rsidRPr="00742CA2">
              <w:rPr>
                <w:sz w:val="22"/>
                <w:szCs w:val="22"/>
                <w:lang w:val="ro-RO"/>
              </w:rPr>
              <w:t xml:space="preserve">Dacă datelor s-au colectat </w:t>
            </w:r>
            <w:r w:rsidRPr="00742CA2">
              <w:rPr>
                <w:b/>
                <w:sz w:val="22"/>
                <w:szCs w:val="22"/>
                <w:lang w:val="ro-RO"/>
              </w:rPr>
              <w:t>on line</w:t>
            </w:r>
            <w:r w:rsidRPr="00742CA2">
              <w:rPr>
                <w:sz w:val="22"/>
                <w:szCs w:val="22"/>
                <w:lang w:val="ro-RO"/>
              </w:rPr>
              <w:t>, termenul de completare a fost până la data de 18.05.2016.</w:t>
            </w:r>
          </w:p>
          <w:p w:rsidR="00742CA2" w:rsidRPr="00742CA2" w:rsidRDefault="00742CA2" w:rsidP="00742CA2">
            <w:pPr>
              <w:spacing w:before="30" w:after="30"/>
              <w:rPr>
                <w:sz w:val="22"/>
                <w:szCs w:val="22"/>
                <w:lang w:val="ro-RO"/>
              </w:rPr>
            </w:pPr>
            <w:r w:rsidRPr="00742CA2">
              <w:rPr>
                <w:sz w:val="22"/>
                <w:szCs w:val="22"/>
                <w:lang w:val="ro-RO"/>
              </w:rPr>
              <w:t xml:space="preserve">Dacă datelor s-au colectat </w:t>
            </w:r>
            <w:r w:rsidRPr="00742CA2">
              <w:rPr>
                <w:b/>
                <w:sz w:val="22"/>
                <w:szCs w:val="22"/>
                <w:lang w:val="ro-RO"/>
              </w:rPr>
              <w:t>pe suport hârtie</w:t>
            </w:r>
            <w:r w:rsidRPr="00742CA2">
              <w:rPr>
                <w:sz w:val="22"/>
                <w:szCs w:val="22"/>
                <w:lang w:val="ro-RO"/>
              </w:rPr>
              <w:t>, termenul de completare a fost până la data de 03.05.2016.</w:t>
            </w:r>
          </w:p>
          <w:p w:rsidR="00742CA2" w:rsidRPr="00742CA2" w:rsidRDefault="00742CA2" w:rsidP="00742CA2">
            <w:pPr>
              <w:spacing w:before="30" w:after="30"/>
              <w:rPr>
                <w:sz w:val="22"/>
                <w:szCs w:val="22"/>
                <w:lang w:val="ro-RO"/>
              </w:rPr>
            </w:pPr>
            <w:r w:rsidRPr="00742CA2">
              <w:rPr>
                <w:sz w:val="22"/>
                <w:szCs w:val="22"/>
                <w:lang w:val="ro-RO"/>
              </w:rPr>
              <w:t>Chestionarul anchetei a fost structurat pe șase module:</w:t>
            </w:r>
          </w:p>
          <w:p w:rsidR="00742CA2" w:rsidRPr="00742CA2" w:rsidRDefault="00742CA2" w:rsidP="00742CA2">
            <w:pPr>
              <w:spacing w:before="30" w:after="30"/>
              <w:rPr>
                <w:sz w:val="22"/>
                <w:szCs w:val="22"/>
                <w:lang w:val="ro-RO"/>
              </w:rPr>
            </w:pPr>
            <w:r w:rsidRPr="00742CA2">
              <w:rPr>
                <w:rStyle w:val="Strong"/>
                <w:sz w:val="22"/>
                <w:szCs w:val="22"/>
                <w:lang w:val="ro-RO"/>
              </w:rPr>
              <w:t xml:space="preserve">A. </w:t>
            </w:r>
            <w:r w:rsidRPr="00742CA2">
              <w:rPr>
                <w:rStyle w:val="Emphasis"/>
                <w:sz w:val="22"/>
                <w:szCs w:val="22"/>
                <w:lang w:val="ro-RO"/>
              </w:rPr>
              <w:t xml:space="preserve">STRUCTURA ŞI STRATEGIA ÎNTREPRINDERII </w:t>
            </w:r>
            <w:r w:rsidRPr="00742CA2">
              <w:rPr>
                <w:sz w:val="22"/>
                <w:szCs w:val="22"/>
                <w:lang w:val="ro-RO"/>
              </w:rPr>
              <w:t>– întrebări adresate tuturor întreprinderilor</w:t>
            </w:r>
          </w:p>
          <w:p w:rsidR="00742CA2" w:rsidRPr="00742CA2" w:rsidRDefault="00742CA2" w:rsidP="00742CA2">
            <w:pPr>
              <w:spacing w:before="30" w:after="30"/>
              <w:rPr>
                <w:sz w:val="22"/>
                <w:szCs w:val="22"/>
                <w:lang w:val="ro-RO"/>
              </w:rPr>
            </w:pPr>
            <w:r w:rsidRPr="00742CA2">
              <w:rPr>
                <w:rStyle w:val="Strong"/>
                <w:sz w:val="22"/>
                <w:szCs w:val="22"/>
                <w:lang w:val="ro-RO"/>
              </w:rPr>
              <w:t xml:space="preserve">B. </w:t>
            </w:r>
            <w:r w:rsidRPr="00742CA2">
              <w:rPr>
                <w:rStyle w:val="Emphasis"/>
                <w:sz w:val="22"/>
                <w:szCs w:val="22"/>
                <w:lang w:val="ro-RO"/>
              </w:rPr>
              <w:t xml:space="preserve">FORMAREA PROFESIONALĂ CONTINUĂ </w:t>
            </w:r>
            <w:r w:rsidRPr="00742CA2">
              <w:rPr>
                <w:sz w:val="22"/>
                <w:szCs w:val="22"/>
                <w:lang w:val="ro-RO"/>
              </w:rPr>
              <w:t>– întrebări adresate tuturor întreprinderilor</w:t>
            </w:r>
          </w:p>
          <w:p w:rsidR="00742CA2" w:rsidRPr="00742CA2" w:rsidRDefault="00742CA2" w:rsidP="00742CA2">
            <w:pPr>
              <w:spacing w:before="30" w:after="30"/>
              <w:jc w:val="both"/>
              <w:rPr>
                <w:sz w:val="22"/>
                <w:szCs w:val="22"/>
                <w:lang w:val="ro-RO"/>
              </w:rPr>
            </w:pPr>
            <w:r w:rsidRPr="00742CA2">
              <w:rPr>
                <w:rStyle w:val="Strong"/>
                <w:sz w:val="22"/>
                <w:szCs w:val="22"/>
                <w:lang w:val="ro-RO"/>
              </w:rPr>
              <w:t xml:space="preserve">C. </w:t>
            </w:r>
            <w:r w:rsidRPr="00742CA2">
              <w:rPr>
                <w:rStyle w:val="Emphasis"/>
                <w:sz w:val="22"/>
                <w:szCs w:val="22"/>
                <w:lang w:val="ro-RO"/>
              </w:rPr>
              <w:t xml:space="preserve">CURSURI DE FORMARE PROFESIONALĂ CONTINUĂ </w:t>
            </w:r>
            <w:r w:rsidRPr="00742CA2">
              <w:rPr>
                <w:sz w:val="22"/>
                <w:szCs w:val="22"/>
                <w:lang w:val="ro-RO"/>
              </w:rPr>
              <w:t>– întrebări adresate întreprinderilor care au oferit formare profesională continuă sub forma cursurilor în anul 2015</w:t>
            </w:r>
          </w:p>
          <w:p w:rsidR="00742CA2" w:rsidRPr="00742CA2" w:rsidRDefault="00742CA2" w:rsidP="00742CA2">
            <w:pPr>
              <w:spacing w:before="30" w:after="30"/>
              <w:jc w:val="both"/>
              <w:rPr>
                <w:sz w:val="22"/>
                <w:szCs w:val="22"/>
                <w:lang w:val="ro-RO"/>
              </w:rPr>
            </w:pPr>
            <w:r w:rsidRPr="00742CA2">
              <w:rPr>
                <w:rStyle w:val="Strong"/>
                <w:sz w:val="22"/>
                <w:szCs w:val="22"/>
                <w:lang w:val="ro-RO"/>
              </w:rPr>
              <w:t xml:space="preserve">D. </w:t>
            </w:r>
            <w:r w:rsidRPr="00742CA2">
              <w:rPr>
                <w:rStyle w:val="Emphasis"/>
                <w:sz w:val="22"/>
                <w:szCs w:val="22"/>
                <w:lang w:val="ro-RO"/>
              </w:rPr>
              <w:t xml:space="preserve">REZULTATE ŞI DIFICULTĂŢI ÎN ACORDAREA DE FORMARE PROFESIONALĂ CONTINUĂ </w:t>
            </w:r>
            <w:r w:rsidRPr="00742CA2">
              <w:rPr>
                <w:sz w:val="22"/>
                <w:szCs w:val="22"/>
                <w:lang w:val="ro-RO"/>
              </w:rPr>
              <w:t>– întrebări adresate tuturor întreprinderilor care au oferit formare profesională continuă în anul 2015</w:t>
            </w:r>
          </w:p>
          <w:p w:rsidR="00742CA2" w:rsidRPr="00742CA2" w:rsidRDefault="00742CA2" w:rsidP="00742CA2">
            <w:pPr>
              <w:spacing w:before="30" w:after="30"/>
              <w:jc w:val="both"/>
              <w:rPr>
                <w:sz w:val="22"/>
                <w:szCs w:val="22"/>
                <w:lang w:val="ro-RO"/>
              </w:rPr>
            </w:pPr>
            <w:r w:rsidRPr="00742CA2">
              <w:rPr>
                <w:rStyle w:val="Strong"/>
                <w:sz w:val="22"/>
                <w:szCs w:val="22"/>
                <w:lang w:val="ro-RO"/>
              </w:rPr>
              <w:t xml:space="preserve">E. </w:t>
            </w:r>
            <w:r w:rsidRPr="00742CA2">
              <w:rPr>
                <w:rStyle w:val="Emphasis"/>
                <w:sz w:val="22"/>
                <w:szCs w:val="22"/>
                <w:lang w:val="ro-RO"/>
              </w:rPr>
              <w:t>MOTIVE PENTRU CARE ÎNTREPRINDEREA NU A OFERIT FORMARE PROFESIONALĂ CONTINUĂ</w:t>
            </w:r>
            <w:r w:rsidRPr="00742CA2">
              <w:rPr>
                <w:sz w:val="22"/>
                <w:szCs w:val="22"/>
                <w:lang w:val="ro-RO"/>
              </w:rPr>
              <w:t xml:space="preserve">  – întrebări adresate întreprinderilor care nu au oferit formare profesională continuă în anul 2015</w:t>
            </w:r>
          </w:p>
          <w:p w:rsidR="00742CA2" w:rsidRPr="00742CA2" w:rsidRDefault="00742CA2" w:rsidP="00742CA2">
            <w:pPr>
              <w:spacing w:before="30" w:after="30"/>
              <w:rPr>
                <w:sz w:val="22"/>
                <w:szCs w:val="22"/>
                <w:lang w:val="ro-RO"/>
              </w:rPr>
            </w:pPr>
            <w:r w:rsidRPr="00742CA2">
              <w:rPr>
                <w:rStyle w:val="Strong"/>
                <w:sz w:val="22"/>
                <w:szCs w:val="22"/>
                <w:lang w:val="ro-RO"/>
              </w:rPr>
              <w:t xml:space="preserve">F. </w:t>
            </w:r>
            <w:r w:rsidRPr="00742CA2">
              <w:rPr>
                <w:rStyle w:val="Emphasis"/>
                <w:sz w:val="22"/>
                <w:szCs w:val="22"/>
                <w:lang w:val="ro-RO"/>
              </w:rPr>
              <w:t xml:space="preserve">FORMAREA PROFESIONALĂ INIŢIALĂ </w:t>
            </w:r>
            <w:r w:rsidRPr="00742CA2">
              <w:rPr>
                <w:sz w:val="22"/>
                <w:szCs w:val="22"/>
                <w:lang w:val="ro-RO"/>
              </w:rPr>
              <w:t>– întrebări adresate tuturor întreprinderilor</w:t>
            </w:r>
          </w:p>
          <w:p w:rsidR="00742CA2" w:rsidRPr="00742CA2" w:rsidRDefault="00742CA2" w:rsidP="00742CA2">
            <w:pPr>
              <w:spacing w:before="30" w:after="30"/>
              <w:rPr>
                <w:sz w:val="22"/>
                <w:szCs w:val="22"/>
                <w:lang w:val="ro-RO"/>
              </w:rPr>
            </w:pPr>
            <w:r w:rsidRPr="00742CA2">
              <w:rPr>
                <w:rStyle w:val="translation"/>
                <w:lang w:val="ro-RO"/>
              </w:rPr>
              <w:lastRenderedPageBreak/>
              <w:t>Din totalul unităților care au răspuns la anchetă, circa 47% au raportat on line.</w:t>
            </w:r>
          </w:p>
          <w:p w:rsidR="00832C90" w:rsidRPr="00742CA2" w:rsidRDefault="00742CA2" w:rsidP="00742CA2">
            <w:pPr>
              <w:spacing w:before="60"/>
              <w:rPr>
                <w:rFonts w:ascii="Bookman Old Style" w:hAnsi="Bookman Old Style"/>
                <w:b/>
                <w:bCs/>
                <w:sz w:val="20"/>
                <w:szCs w:val="20"/>
                <w:lang w:val="ro-RO"/>
              </w:rPr>
            </w:pPr>
            <w:r w:rsidRPr="00742CA2">
              <w:rPr>
                <w:sz w:val="22"/>
                <w:szCs w:val="22"/>
                <w:lang w:val="ro-RO"/>
              </w:rPr>
              <w:t xml:space="preserve">Vezi </w:t>
            </w:r>
            <w:r w:rsidRPr="00742CA2">
              <w:rPr>
                <w:rStyle w:val="Emphasis"/>
                <w:b/>
                <w:bCs/>
                <w:sz w:val="22"/>
                <w:szCs w:val="22"/>
                <w:lang w:val="ro-RO"/>
              </w:rPr>
              <w:t>tabelul 3.3</w:t>
            </w:r>
            <w:r w:rsidRPr="00742CA2">
              <w:rPr>
                <w:sz w:val="22"/>
                <w:szCs w:val="22"/>
                <w:lang w:val="ro-RO"/>
              </w:rPr>
              <w:t xml:space="preserve"> din anexă 'RO - tabelele ESQRS FORPRO 2015 (excel)'.</w:t>
            </w:r>
          </w:p>
        </w:tc>
      </w:tr>
      <w:tr w:rsidR="00742CA2"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742CA2" w:rsidRPr="00742CA2" w:rsidRDefault="00742CA2" w:rsidP="00742CA2">
            <w:pPr>
              <w:rPr>
                <w:b/>
                <w:bCs/>
                <w:sz w:val="22"/>
                <w:szCs w:val="22"/>
                <w:lang w:val="ro-RO"/>
              </w:rPr>
            </w:pPr>
            <w:bookmarkStart w:id="18" w:name="data_validation"/>
            <w:bookmarkEnd w:id="18"/>
            <w:r w:rsidRPr="00742CA2">
              <w:rPr>
                <w:b/>
                <w:bCs/>
                <w:sz w:val="22"/>
                <w:szCs w:val="22"/>
                <w:lang w:val="ro-RO"/>
              </w:rPr>
              <w:lastRenderedPageBreak/>
              <w:t>3.4. Validarea datelor</w:t>
            </w:r>
          </w:p>
        </w:tc>
      </w:tr>
      <w:tr w:rsidR="00742CA2" w:rsidRPr="0038436D" w:rsidTr="0025236D">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42CA2" w:rsidRPr="00742CA2" w:rsidRDefault="00742CA2" w:rsidP="00742CA2">
            <w:pPr>
              <w:spacing w:before="30" w:after="30"/>
              <w:jc w:val="both"/>
              <w:rPr>
                <w:sz w:val="22"/>
                <w:szCs w:val="22"/>
                <w:lang w:val="ro-RO"/>
              </w:rPr>
            </w:pPr>
            <w:r w:rsidRPr="00742CA2">
              <w:rPr>
                <w:sz w:val="22"/>
                <w:szCs w:val="22"/>
                <w:lang w:val="ro-RO"/>
              </w:rPr>
              <w:t>Aplicaţia informatică pentru Ancheta formării profesionale continue (FORPRO) a fost dezvoltată pentru a depista erorile de măsurare şi de procesare produse în diferite momente ale desfăşurării anchetei. Aplicaţia a fost proiectată pentru colectarea și validarea on line a datelor.</w:t>
            </w:r>
          </w:p>
          <w:p w:rsidR="00742CA2" w:rsidRPr="00742CA2" w:rsidRDefault="00742CA2" w:rsidP="00742CA2">
            <w:pPr>
              <w:spacing w:before="30" w:after="30"/>
              <w:jc w:val="both"/>
              <w:rPr>
                <w:rFonts w:ascii="Bookman Old Style" w:hAnsi="Bookman Old Style" w:cs="Tahoma"/>
                <w:bCs/>
                <w:sz w:val="20"/>
                <w:szCs w:val="20"/>
                <w:lang w:val="ro-RO"/>
              </w:rPr>
            </w:pPr>
            <w:r w:rsidRPr="00742CA2">
              <w:rPr>
                <w:sz w:val="22"/>
                <w:szCs w:val="22"/>
                <w:lang w:val="ro-RO"/>
              </w:rPr>
              <w:t>Aplicaţia informatică a permis introducerea şi validarea datelor la nivel de unitate. De asemenea, aplicaţia informatică a permis introducerea şi validarea datelor şi pentru chestionarele primite pe suport hârtie (prin poştă sau prin email) la nivelul fiecărui judeţ (42 de judeţe – NUTS3).</w:t>
            </w:r>
          </w:p>
        </w:tc>
      </w:tr>
      <w:tr w:rsidR="00742CA2"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742CA2" w:rsidRPr="00742CA2" w:rsidRDefault="00742CA2" w:rsidP="00742CA2">
            <w:pPr>
              <w:rPr>
                <w:rFonts w:ascii="Bookman Old Style" w:hAnsi="Bookman Old Style"/>
                <w:b/>
                <w:bCs/>
                <w:sz w:val="20"/>
                <w:szCs w:val="20"/>
                <w:lang w:val="ro-RO"/>
              </w:rPr>
            </w:pPr>
            <w:bookmarkStart w:id="19" w:name="data_comp"/>
            <w:bookmarkEnd w:id="19"/>
            <w:r w:rsidRPr="00742CA2">
              <w:rPr>
                <w:b/>
                <w:bCs/>
                <w:sz w:val="22"/>
                <w:szCs w:val="22"/>
                <w:lang w:val="ro-RO"/>
              </w:rPr>
              <w:t>3.5. Extinderea datelor</w:t>
            </w:r>
          </w:p>
        </w:tc>
      </w:tr>
      <w:tr w:rsidR="00742CA2" w:rsidRPr="0038436D" w:rsidTr="0025236D">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42CA2" w:rsidRPr="00742CA2" w:rsidRDefault="00742CA2" w:rsidP="00742CA2">
            <w:pPr>
              <w:jc w:val="both"/>
              <w:rPr>
                <w:sz w:val="22"/>
                <w:szCs w:val="22"/>
                <w:lang w:val="ro-RO"/>
              </w:rPr>
            </w:pPr>
            <w:r w:rsidRPr="00742CA2">
              <w:rPr>
                <w:sz w:val="22"/>
                <w:szCs w:val="22"/>
                <w:lang w:val="ro-RO"/>
              </w:rPr>
              <w:t>Estimatorul folosit pentru a calcula datele estimate şi varianţa estimată este un estimator Horvitz-Thompson şi reprezintă raportul dintre numărul de unităţi din stratul h şi numărul de unităţi selectate în eşantion din acelaşi strat care au răspuns la anchetă (N</w:t>
            </w:r>
            <w:r w:rsidRPr="00A650F0">
              <w:rPr>
                <w:sz w:val="22"/>
                <w:szCs w:val="22"/>
                <w:vertAlign w:val="subscript"/>
                <w:lang w:val="ro-RO"/>
              </w:rPr>
              <w:t>h</w:t>
            </w:r>
            <w:r w:rsidRPr="00742CA2">
              <w:rPr>
                <w:sz w:val="22"/>
                <w:szCs w:val="22"/>
                <w:lang w:val="ro-RO"/>
              </w:rPr>
              <w:t>/m</w:t>
            </w:r>
            <w:r w:rsidRPr="00A650F0">
              <w:rPr>
                <w:sz w:val="22"/>
                <w:szCs w:val="22"/>
                <w:vertAlign w:val="subscript"/>
                <w:lang w:val="ro-RO"/>
              </w:rPr>
              <w:t>h</w:t>
            </w:r>
            <w:r w:rsidRPr="00742CA2">
              <w:rPr>
                <w:sz w:val="22"/>
                <w:szCs w:val="22"/>
                <w:lang w:val="ro-RO"/>
              </w:rPr>
              <w:t xml:space="preserve">). </w:t>
            </w:r>
          </w:p>
          <w:p w:rsidR="00742CA2" w:rsidRPr="00742CA2" w:rsidRDefault="00742CA2" w:rsidP="00742CA2">
            <w:pPr>
              <w:rPr>
                <w:sz w:val="22"/>
                <w:szCs w:val="22"/>
                <w:lang w:val="ro-RO"/>
              </w:rPr>
            </w:pPr>
            <w:r w:rsidRPr="00742CA2">
              <w:rPr>
                <w:sz w:val="22"/>
                <w:szCs w:val="22"/>
                <w:lang w:val="ro-RO"/>
              </w:rPr>
              <w:t>Estimarea se bazează pe următoarele ipoteze:</w:t>
            </w:r>
          </w:p>
          <w:p w:rsidR="00742CA2" w:rsidRPr="00742CA2" w:rsidRDefault="00742CA2" w:rsidP="00902A9C">
            <w:pPr>
              <w:numPr>
                <w:ilvl w:val="0"/>
                <w:numId w:val="2"/>
              </w:numPr>
              <w:ind w:left="360"/>
              <w:rPr>
                <w:sz w:val="22"/>
                <w:szCs w:val="22"/>
                <w:lang w:val="ro-RO"/>
              </w:rPr>
            </w:pPr>
            <w:r w:rsidRPr="00742CA2">
              <w:rPr>
                <w:sz w:val="22"/>
                <w:szCs w:val="22"/>
                <w:lang w:val="ro-RO"/>
              </w:rPr>
              <w:t>răspunsul este stocastic şi există o distribuţie a răspunsului;</w:t>
            </w:r>
          </w:p>
          <w:p w:rsidR="00742CA2" w:rsidRPr="00742CA2" w:rsidRDefault="00742CA2" w:rsidP="00902A9C">
            <w:pPr>
              <w:numPr>
                <w:ilvl w:val="0"/>
                <w:numId w:val="2"/>
              </w:numPr>
              <w:ind w:left="360"/>
              <w:rPr>
                <w:rFonts w:ascii="Bookman Old Style" w:hAnsi="Bookman Old Style"/>
                <w:b/>
                <w:bCs/>
                <w:sz w:val="20"/>
                <w:szCs w:val="20"/>
                <w:lang w:val="ro-RO"/>
              </w:rPr>
            </w:pPr>
            <w:r w:rsidRPr="00742CA2">
              <w:rPr>
                <w:sz w:val="22"/>
                <w:szCs w:val="22"/>
                <w:lang w:val="ro-RO"/>
              </w:rPr>
              <w:t>toate unităţile dintr-un strat răspund cu aceeaşi probabilitate.</w:t>
            </w:r>
          </w:p>
        </w:tc>
      </w:tr>
      <w:tr w:rsidR="00742CA2" w:rsidRPr="0038436D" w:rsidTr="0025236D">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742CA2" w:rsidRPr="00742CA2" w:rsidRDefault="00742CA2" w:rsidP="00742CA2">
            <w:pPr>
              <w:jc w:val="both"/>
              <w:rPr>
                <w:rFonts w:ascii="Bookman Old Style" w:hAnsi="Bookman Old Style"/>
                <w:b/>
                <w:bCs/>
                <w:sz w:val="20"/>
                <w:szCs w:val="20"/>
                <w:lang w:val="ro-RO"/>
              </w:rPr>
            </w:pPr>
            <w:bookmarkStart w:id="20" w:name="adjustment"/>
            <w:bookmarkEnd w:id="20"/>
            <w:r w:rsidRPr="00742CA2">
              <w:rPr>
                <w:b/>
                <w:bCs/>
                <w:sz w:val="22"/>
                <w:szCs w:val="22"/>
                <w:lang w:val="ro-RO"/>
              </w:rPr>
              <w:t>3.6. Ajustarea</w:t>
            </w:r>
          </w:p>
        </w:tc>
      </w:tr>
      <w:tr w:rsidR="00742CA2" w:rsidRPr="0038436D" w:rsidTr="0025236D">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42CA2" w:rsidRPr="00742CA2" w:rsidRDefault="00742CA2" w:rsidP="00742CA2">
            <w:pPr>
              <w:pStyle w:val="Style16"/>
              <w:widowControl/>
              <w:spacing w:before="60" w:line="240" w:lineRule="auto"/>
              <w:rPr>
                <w:rFonts w:ascii="Bookman Old Style" w:hAnsi="Bookman Old Style"/>
                <w:b/>
                <w:bCs/>
                <w:sz w:val="20"/>
                <w:szCs w:val="20"/>
                <w:lang w:val="ro-RO"/>
              </w:rPr>
            </w:pPr>
            <w:r w:rsidRPr="00742CA2">
              <w:rPr>
                <w:rFonts w:ascii="Times New Roman" w:hAnsi="Times New Roman"/>
                <w:sz w:val="22"/>
                <w:szCs w:val="22"/>
                <w:lang w:val="ro-RO"/>
              </w:rPr>
              <w:t>Nu se aplică.</w:t>
            </w:r>
          </w:p>
        </w:tc>
      </w:tr>
    </w:tbl>
    <w:p w:rsidR="00832C90" w:rsidRPr="0038436D" w:rsidRDefault="00832C90">
      <w:pPr>
        <w:pStyle w:val="doccommon1"/>
        <w:shd w:val="clear" w:color="auto" w:fill="FFFFFF"/>
        <w:rPr>
          <w:rFonts w:ascii="Bookman Old Style" w:hAnsi="Bookman Old Style"/>
          <w:sz w:val="20"/>
          <w:szCs w:val="20"/>
          <w:lang w:val="en-GB"/>
        </w:rPr>
      </w:pPr>
    </w:p>
    <w:tbl>
      <w:tblPr>
        <w:tblW w:w="4976" w:type="pct"/>
        <w:tblCellMar>
          <w:left w:w="0" w:type="dxa"/>
          <w:right w:w="0" w:type="dxa"/>
        </w:tblCellMar>
        <w:tblLook w:val="00A0" w:firstRow="1" w:lastRow="0" w:firstColumn="1" w:lastColumn="0" w:noHBand="0" w:noVBand="0"/>
      </w:tblPr>
      <w:tblGrid>
        <w:gridCol w:w="9848"/>
      </w:tblGrid>
      <w:tr w:rsidR="00832C90" w:rsidRPr="0038436D" w:rsidTr="00DA3014">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7D5221" w:rsidRDefault="007D5221">
            <w:pPr>
              <w:rPr>
                <w:rFonts w:ascii="Bookman Old Style" w:hAnsi="Bookman Old Style"/>
                <w:b/>
                <w:bCs/>
                <w:lang w:val="ro-RO"/>
              </w:rPr>
            </w:pPr>
            <w:bookmarkStart w:id="21" w:name="quality_mgmnt1502954759597"/>
            <w:bookmarkEnd w:id="21"/>
            <w:r w:rsidRPr="007D5221">
              <w:rPr>
                <w:b/>
                <w:bCs/>
                <w:sz w:val="32"/>
                <w:szCs w:val="32"/>
                <w:lang w:val="ro-RO"/>
              </w:rPr>
              <w:t>4. Managementul calităţii</w:t>
            </w:r>
          </w:p>
        </w:tc>
      </w:tr>
      <w:tr w:rsidR="00832C90" w:rsidRPr="0038436D" w:rsidTr="00DA3014">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7D5221" w:rsidRDefault="007D5221">
            <w:pPr>
              <w:rPr>
                <w:rFonts w:ascii="Bookman Old Style" w:hAnsi="Bookman Old Style"/>
                <w:b/>
                <w:bCs/>
                <w:sz w:val="20"/>
                <w:szCs w:val="20"/>
                <w:lang w:val="ro-RO"/>
              </w:rPr>
            </w:pPr>
            <w:bookmarkStart w:id="22" w:name="quality_assure"/>
            <w:bookmarkEnd w:id="22"/>
            <w:r w:rsidRPr="007D5221">
              <w:rPr>
                <w:b/>
                <w:bCs/>
                <w:sz w:val="22"/>
                <w:szCs w:val="22"/>
                <w:lang w:val="ro-RO"/>
              </w:rPr>
              <w:t>4.1. Asigurarea calității</w:t>
            </w:r>
          </w:p>
        </w:tc>
      </w:tr>
      <w:tr w:rsidR="00832C90" w:rsidRPr="0038436D" w:rsidTr="00DA3014">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D5221" w:rsidRPr="007D5221" w:rsidRDefault="007D5221" w:rsidP="007D5221">
            <w:pPr>
              <w:spacing w:before="30" w:after="30"/>
              <w:jc w:val="both"/>
              <w:rPr>
                <w:sz w:val="22"/>
                <w:szCs w:val="22"/>
                <w:lang w:val="ro-RO"/>
              </w:rPr>
            </w:pPr>
            <w:r w:rsidRPr="007D5221">
              <w:rPr>
                <w:sz w:val="22"/>
                <w:szCs w:val="22"/>
                <w:lang w:val="ro-RO"/>
              </w:rPr>
              <w:t>Calitatea datelor Anchetei formării profesionale continue este asigurată în concordanţă cu Codul European de Practici (ESS Code of Practice) pentru fiecare etapă din organizarea şi derularea anchetei.</w:t>
            </w:r>
          </w:p>
          <w:p w:rsidR="00832C90" w:rsidRPr="007D5221" w:rsidRDefault="007D5221" w:rsidP="007D5221">
            <w:pPr>
              <w:spacing w:before="30" w:after="30"/>
              <w:jc w:val="both"/>
              <w:rPr>
                <w:rFonts w:ascii="Bookman Old Style" w:hAnsi="Bookman Old Style"/>
                <w:color w:val="000000"/>
                <w:sz w:val="20"/>
                <w:szCs w:val="20"/>
                <w:lang w:val="ro-RO"/>
              </w:rPr>
            </w:pPr>
            <w:r w:rsidRPr="007D5221">
              <w:rPr>
                <w:sz w:val="22"/>
                <w:szCs w:val="22"/>
                <w:lang w:val="ro-RO"/>
              </w:rPr>
              <w:t>Modalitatea de proiectare a chestionarului statistic, a precizărilor metodologice detaliate, precum şi a aplicaţiei IT dezvoltate, au condus la obţinerea de date complete şi de o calitate ridicată.</w:t>
            </w:r>
          </w:p>
        </w:tc>
      </w:tr>
      <w:tr w:rsidR="00832C90" w:rsidRPr="0038436D" w:rsidTr="00DA3014">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7D5221" w:rsidRDefault="007D5221">
            <w:pPr>
              <w:rPr>
                <w:rFonts w:ascii="Bookman Old Style" w:hAnsi="Bookman Old Style"/>
                <w:b/>
                <w:bCs/>
                <w:sz w:val="20"/>
                <w:szCs w:val="20"/>
                <w:lang w:val="ro-RO"/>
              </w:rPr>
            </w:pPr>
            <w:bookmarkStart w:id="23" w:name="quality_assmnt"/>
            <w:bookmarkEnd w:id="23"/>
            <w:r w:rsidRPr="007D5221">
              <w:rPr>
                <w:b/>
                <w:bCs/>
                <w:sz w:val="22"/>
                <w:szCs w:val="22"/>
                <w:lang w:val="ro-RO"/>
              </w:rPr>
              <w:t>4.2. Managementul calităţii - evaluare</w:t>
            </w:r>
          </w:p>
        </w:tc>
      </w:tr>
      <w:tr w:rsidR="00832C90" w:rsidRPr="0038436D" w:rsidTr="00DA3014">
        <w:trPr>
          <w:trHeight w:val="314"/>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D5221" w:rsidRPr="007D5221" w:rsidRDefault="007D5221" w:rsidP="007D5221">
            <w:pPr>
              <w:spacing w:before="30" w:after="30"/>
              <w:jc w:val="both"/>
              <w:rPr>
                <w:sz w:val="22"/>
                <w:szCs w:val="22"/>
                <w:lang w:val="ro-RO"/>
              </w:rPr>
            </w:pPr>
            <w:r w:rsidRPr="007D5221">
              <w:rPr>
                <w:sz w:val="22"/>
                <w:szCs w:val="22"/>
                <w:lang w:val="ro-RO"/>
              </w:rPr>
              <w:t>Variabilele din ancheta formării profesionale continue privind costul pe componente au creat probleme întreprinderilor. Acestea au furnizat răspunsurile, dar au considerat variabilele de cost foarte complexe și consumatoare de timp.</w:t>
            </w:r>
          </w:p>
          <w:p w:rsidR="00832C90" w:rsidRPr="007D5221" w:rsidRDefault="007D5221" w:rsidP="007D5221">
            <w:pPr>
              <w:spacing w:before="30" w:after="30"/>
              <w:jc w:val="both"/>
              <w:rPr>
                <w:rFonts w:ascii="Bookman Old Style" w:hAnsi="Bookman Old Style"/>
                <w:sz w:val="20"/>
                <w:szCs w:val="20"/>
                <w:lang w:val="ro-RO"/>
              </w:rPr>
            </w:pPr>
            <w:r w:rsidRPr="007D5221">
              <w:rPr>
                <w:sz w:val="22"/>
                <w:szCs w:val="22"/>
                <w:lang w:val="ro-RO"/>
              </w:rPr>
              <w:t>Toate standardele statistice ale criteriilor de calitate au fost îndeplinite (ex. satisfacerea cerinţelor utilizatorilor prin furnizarea la timp a unui set complet de date; modalităţi diverse de diseminare a datelor pe multiple caracteristici; respectarea calendarului de diseminare a datelor atât la nivel naţional, cât şi la Eurostat).</w:t>
            </w:r>
          </w:p>
        </w:tc>
      </w:tr>
    </w:tbl>
    <w:p w:rsidR="00832C90" w:rsidRPr="0038436D" w:rsidRDefault="00832C90">
      <w:pPr>
        <w:pStyle w:val="doccommon1"/>
        <w:shd w:val="clear" w:color="auto" w:fill="FFFFFF"/>
        <w:rPr>
          <w:rFonts w:ascii="Bookman Old Style" w:hAnsi="Bookman Old Style"/>
          <w:sz w:val="20"/>
          <w:szCs w:val="20"/>
          <w:lang w:val="en-GB"/>
        </w:rPr>
      </w:pPr>
    </w:p>
    <w:tbl>
      <w:tblPr>
        <w:tblW w:w="4950" w:type="pct"/>
        <w:tblCellMar>
          <w:left w:w="0" w:type="dxa"/>
          <w:right w:w="0" w:type="dxa"/>
        </w:tblCellMar>
        <w:tblLook w:val="00A0" w:firstRow="1" w:lastRow="0" w:firstColumn="1" w:lastColumn="0" w:noHBand="0" w:noVBand="0"/>
      </w:tblPr>
      <w:tblGrid>
        <w:gridCol w:w="9797"/>
      </w:tblGrid>
      <w:tr w:rsidR="00832C90" w:rsidRPr="0038436D">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013DE6" w:rsidRDefault="00013DE6">
            <w:pPr>
              <w:rPr>
                <w:rFonts w:ascii="Bookman Old Style" w:hAnsi="Bookman Old Style"/>
                <w:b/>
                <w:bCs/>
                <w:lang w:val="ro-RO"/>
              </w:rPr>
            </w:pPr>
            <w:bookmarkStart w:id="24" w:name="relevance1502954759597"/>
            <w:bookmarkEnd w:id="24"/>
            <w:r w:rsidRPr="00013DE6">
              <w:rPr>
                <w:b/>
                <w:bCs/>
                <w:sz w:val="32"/>
                <w:szCs w:val="32"/>
                <w:lang w:val="ro-RO"/>
              </w:rPr>
              <w:t>5. Relevanţa</w:t>
            </w:r>
          </w:p>
        </w:tc>
      </w:tr>
      <w:tr w:rsidR="00832C90" w:rsidRPr="0038436D" w:rsidTr="00E566C1">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013DE6" w:rsidRDefault="00013DE6">
            <w:pPr>
              <w:rPr>
                <w:rFonts w:ascii="Bookman Old Style" w:hAnsi="Bookman Old Style"/>
                <w:b/>
                <w:bCs/>
                <w:sz w:val="20"/>
                <w:szCs w:val="20"/>
                <w:lang w:val="ro-RO"/>
              </w:rPr>
            </w:pPr>
            <w:bookmarkStart w:id="25" w:name="user_needs"/>
            <w:bookmarkEnd w:id="25"/>
            <w:r w:rsidRPr="00013DE6">
              <w:rPr>
                <w:b/>
                <w:bCs/>
                <w:sz w:val="22"/>
                <w:szCs w:val="22"/>
                <w:lang w:val="ro-RO"/>
              </w:rPr>
              <w:t>5.1. Relevanţa – Nevoile utilizatorilor</w:t>
            </w:r>
          </w:p>
        </w:tc>
      </w:tr>
      <w:tr w:rsidR="00832C90" w:rsidRPr="0038436D" w:rsidTr="00E566C1">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013DE6" w:rsidRPr="00013DE6" w:rsidRDefault="00013DE6" w:rsidP="00013DE6">
            <w:pPr>
              <w:spacing w:before="30" w:after="30"/>
              <w:jc w:val="both"/>
              <w:rPr>
                <w:sz w:val="22"/>
                <w:szCs w:val="22"/>
                <w:lang w:val="ro-RO"/>
              </w:rPr>
            </w:pPr>
            <w:r w:rsidRPr="00013DE6">
              <w:rPr>
                <w:sz w:val="22"/>
                <w:szCs w:val="22"/>
                <w:lang w:val="ro-RO"/>
              </w:rPr>
              <w:t>Rezultatele Anchetei formării profesionale continue (FORPRO 2015), alături de informaţiile furnizate de ancheta anterioară (FORPRO 2010) şi de alte anchete, sunt utilizate de factorii de decizie în stabilirea de acţiuni şi măsuri pentru strategiile de dezvoltare economică şi socială, cât şi în implementarea de programe privind măsuri active de îmbunătăţire a competențelor și calificărilor forţei de muncă în vederea sporirii gradului de acces pe piaţa muncii.</w:t>
            </w:r>
          </w:p>
          <w:p w:rsidR="00013DE6" w:rsidRPr="00013DE6" w:rsidRDefault="00013DE6" w:rsidP="00902A9C">
            <w:pPr>
              <w:numPr>
                <w:ilvl w:val="0"/>
                <w:numId w:val="7"/>
              </w:numPr>
              <w:ind w:left="950"/>
              <w:jc w:val="both"/>
              <w:rPr>
                <w:sz w:val="22"/>
                <w:szCs w:val="22"/>
                <w:lang w:val="ro-RO"/>
              </w:rPr>
            </w:pPr>
            <w:r w:rsidRPr="00013DE6">
              <w:rPr>
                <w:sz w:val="22"/>
                <w:szCs w:val="22"/>
                <w:lang w:val="ro-RO"/>
              </w:rPr>
              <w:t>Ministerul Muncii și Justiției Sociale este interesat de programele şi strategiile angajatorilor pentru sporirea competitivităţii prin creşterea nivelului de educaţie şi calificare al angajaţilor. Informaţiile sunt folosite pentru a măsura evoluţia intrărilor şi ieşirilor la nivelul diferitelor activităţi economic.</w:t>
            </w:r>
          </w:p>
          <w:p w:rsidR="00013DE6" w:rsidRPr="00013DE6" w:rsidRDefault="00013DE6" w:rsidP="00902A9C">
            <w:pPr>
              <w:numPr>
                <w:ilvl w:val="0"/>
                <w:numId w:val="7"/>
              </w:numPr>
              <w:ind w:left="950"/>
              <w:jc w:val="both"/>
              <w:rPr>
                <w:sz w:val="22"/>
                <w:szCs w:val="22"/>
                <w:lang w:val="ro-RO"/>
              </w:rPr>
            </w:pPr>
            <w:r w:rsidRPr="00013DE6">
              <w:rPr>
                <w:sz w:val="22"/>
                <w:szCs w:val="22"/>
                <w:lang w:val="ro-RO"/>
              </w:rPr>
              <w:t xml:space="preserve">Autoritatea Națională pentru Calificări este interesată de cheltuielile angajatorilor cu formarea profesională ca procent din costurile forţei de muncă, în vederea îmbunătăţirii programelor din acest domeniu. Obiectivul este de a se ajunge la o creştere a nivelului de calificare al forţei de </w:t>
            </w:r>
            <w:r w:rsidRPr="00013DE6">
              <w:rPr>
                <w:sz w:val="22"/>
                <w:szCs w:val="22"/>
                <w:lang w:val="ro-RO"/>
              </w:rPr>
              <w:lastRenderedPageBreak/>
              <w:t>muncă existente (în loc să se angajeze direct personal calificat), adecvată tehnologiilor de vârf şi inovaţiilor apărute.</w:t>
            </w:r>
          </w:p>
          <w:p w:rsidR="00832C90" w:rsidRPr="00013DE6" w:rsidRDefault="00013DE6" w:rsidP="00013DE6">
            <w:pPr>
              <w:pStyle w:val="Style16"/>
              <w:widowControl/>
              <w:spacing w:before="60" w:line="240" w:lineRule="auto"/>
              <w:rPr>
                <w:rFonts w:ascii="Times New Roman" w:hAnsi="Times New Roman"/>
                <w:color w:val="0000FF"/>
                <w:sz w:val="20"/>
                <w:szCs w:val="20"/>
                <w:lang w:val="ro-RO" w:eastAsia="ro-RO"/>
              </w:rPr>
            </w:pPr>
            <w:r w:rsidRPr="00013DE6">
              <w:rPr>
                <w:rFonts w:ascii="Times New Roman" w:hAnsi="Times New Roman"/>
                <w:sz w:val="22"/>
                <w:szCs w:val="22"/>
                <w:lang w:val="ro-RO"/>
              </w:rPr>
              <w:t xml:space="preserve">Vezi </w:t>
            </w:r>
            <w:r w:rsidRPr="00013DE6">
              <w:rPr>
                <w:rStyle w:val="Emphasis"/>
                <w:rFonts w:ascii="Times New Roman" w:hAnsi="Times New Roman"/>
                <w:b/>
                <w:bCs/>
                <w:sz w:val="22"/>
                <w:szCs w:val="22"/>
                <w:lang w:val="ro-RO"/>
              </w:rPr>
              <w:t>tabelul 5.1</w:t>
            </w:r>
            <w:r w:rsidRPr="00013DE6">
              <w:rPr>
                <w:rFonts w:ascii="Times New Roman" w:hAnsi="Times New Roman"/>
                <w:sz w:val="22"/>
                <w:szCs w:val="22"/>
                <w:lang w:val="ro-RO"/>
              </w:rPr>
              <w:t xml:space="preserve"> din anexă 'RO - tabelele ESQRS FORPRO 2015 (excel)'.</w:t>
            </w:r>
          </w:p>
        </w:tc>
      </w:tr>
      <w:tr w:rsidR="00832C90" w:rsidRPr="0038436D" w:rsidTr="00E566C1">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013DE6" w:rsidRDefault="00013DE6" w:rsidP="00013DE6">
            <w:pPr>
              <w:rPr>
                <w:rFonts w:ascii="Bookman Old Style" w:hAnsi="Bookman Old Style"/>
                <w:b/>
                <w:bCs/>
                <w:sz w:val="20"/>
                <w:szCs w:val="20"/>
                <w:lang w:val="ro-RO"/>
              </w:rPr>
            </w:pPr>
            <w:bookmarkStart w:id="26" w:name="user_sat"/>
            <w:bookmarkEnd w:id="26"/>
            <w:r w:rsidRPr="00013DE6">
              <w:rPr>
                <w:b/>
                <w:bCs/>
                <w:sz w:val="22"/>
                <w:szCs w:val="22"/>
                <w:lang w:val="ro-RO"/>
              </w:rPr>
              <w:lastRenderedPageBreak/>
              <w:t>5.2. Relevanţa - Satisfac</w:t>
            </w:r>
            <w:r>
              <w:rPr>
                <w:b/>
                <w:bCs/>
                <w:sz w:val="22"/>
                <w:szCs w:val="22"/>
                <w:lang w:val="ro-RO"/>
              </w:rPr>
              <w:t>ț</w:t>
            </w:r>
            <w:r w:rsidRPr="00013DE6">
              <w:rPr>
                <w:b/>
                <w:bCs/>
                <w:sz w:val="22"/>
                <w:szCs w:val="22"/>
                <w:lang w:val="ro-RO"/>
              </w:rPr>
              <w:t>ia utilizatorilor</w:t>
            </w:r>
          </w:p>
        </w:tc>
      </w:tr>
      <w:tr w:rsidR="003C2804" w:rsidRPr="0038436D" w:rsidTr="00E566C1">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3C2804" w:rsidRPr="003C2804" w:rsidRDefault="003C2804" w:rsidP="003C2804">
            <w:pPr>
              <w:spacing w:before="30" w:after="30"/>
              <w:rPr>
                <w:sz w:val="22"/>
                <w:szCs w:val="22"/>
                <w:lang w:val="ro-RO"/>
              </w:rPr>
            </w:pPr>
            <w:r w:rsidRPr="003C2804">
              <w:rPr>
                <w:rStyle w:val="Strong"/>
                <w:sz w:val="22"/>
                <w:szCs w:val="22"/>
                <w:lang w:val="ro-RO"/>
              </w:rPr>
              <w:t>(i) utilizatori interni:</w:t>
            </w:r>
          </w:p>
          <w:p w:rsidR="003C2804" w:rsidRPr="003C2804" w:rsidRDefault="003C2804" w:rsidP="003C2804">
            <w:pPr>
              <w:spacing w:before="30" w:after="30"/>
              <w:jc w:val="both"/>
              <w:rPr>
                <w:sz w:val="22"/>
                <w:szCs w:val="22"/>
                <w:lang w:val="ro-RO"/>
              </w:rPr>
            </w:pPr>
            <w:r w:rsidRPr="003C2804">
              <w:rPr>
                <w:sz w:val="22"/>
                <w:szCs w:val="22"/>
                <w:lang w:val="ro-RO"/>
              </w:rPr>
              <w:t>În România, Institutului Naţional de Statistică (INS) este responsabil pentru statisticile oficiale, dar pentru a se asigura caracterul obiectiv, transparent şi ştiinţific al metodologiilor, indicatorilor şi clasificărilor utilizate în activitatea statistică, s-a înfiinţat Consiliul de Coordonare a Activităţii Statistice.</w:t>
            </w:r>
          </w:p>
          <w:p w:rsidR="003C2804" w:rsidRPr="003C2804" w:rsidRDefault="003C2804" w:rsidP="003C2804">
            <w:pPr>
              <w:spacing w:before="30" w:after="30"/>
              <w:rPr>
                <w:sz w:val="22"/>
                <w:szCs w:val="22"/>
                <w:lang w:val="ro-RO"/>
              </w:rPr>
            </w:pPr>
            <w:r w:rsidRPr="003C2804">
              <w:rPr>
                <w:sz w:val="22"/>
                <w:szCs w:val="22"/>
                <w:lang w:val="ro-RO"/>
              </w:rPr>
              <w:t>Consiliul este compus din reprezentanţi ai:</w:t>
            </w:r>
          </w:p>
          <w:p w:rsidR="003C2804" w:rsidRPr="003C2804" w:rsidRDefault="003C2804" w:rsidP="00902A9C">
            <w:pPr>
              <w:numPr>
                <w:ilvl w:val="0"/>
                <w:numId w:val="8"/>
              </w:numPr>
              <w:ind w:left="950"/>
              <w:rPr>
                <w:sz w:val="22"/>
                <w:szCs w:val="22"/>
                <w:lang w:val="ro-RO"/>
              </w:rPr>
            </w:pPr>
            <w:r w:rsidRPr="003C2804">
              <w:rPr>
                <w:sz w:val="22"/>
                <w:szCs w:val="22"/>
                <w:lang w:val="ro-RO"/>
              </w:rPr>
              <w:t>Academiei Române,</w:t>
            </w:r>
          </w:p>
          <w:p w:rsidR="003C2804" w:rsidRPr="003C2804" w:rsidRDefault="003C2804" w:rsidP="00902A9C">
            <w:pPr>
              <w:numPr>
                <w:ilvl w:val="0"/>
                <w:numId w:val="8"/>
              </w:numPr>
              <w:ind w:left="950"/>
              <w:rPr>
                <w:sz w:val="22"/>
                <w:szCs w:val="22"/>
                <w:lang w:val="ro-RO"/>
              </w:rPr>
            </w:pPr>
            <w:r w:rsidRPr="003C2804">
              <w:rPr>
                <w:sz w:val="22"/>
                <w:szCs w:val="22"/>
                <w:lang w:val="ro-RO"/>
              </w:rPr>
              <w:t>învăţământului superior de specialitate şi din domeniul cercetării,</w:t>
            </w:r>
          </w:p>
          <w:p w:rsidR="003C2804" w:rsidRPr="003C2804" w:rsidRDefault="003C2804" w:rsidP="00902A9C">
            <w:pPr>
              <w:numPr>
                <w:ilvl w:val="0"/>
                <w:numId w:val="8"/>
              </w:numPr>
              <w:ind w:left="950"/>
              <w:rPr>
                <w:sz w:val="22"/>
                <w:szCs w:val="22"/>
                <w:lang w:val="ro-RO"/>
              </w:rPr>
            </w:pPr>
            <w:r w:rsidRPr="003C2804">
              <w:rPr>
                <w:sz w:val="22"/>
                <w:szCs w:val="22"/>
                <w:lang w:val="ro-RO"/>
              </w:rPr>
              <w:t>ministerelor şi altor organe de specialitate din subordinea Guvernului,</w:t>
            </w:r>
          </w:p>
          <w:p w:rsidR="003C2804" w:rsidRPr="003C2804" w:rsidRDefault="003C2804" w:rsidP="00902A9C">
            <w:pPr>
              <w:numPr>
                <w:ilvl w:val="0"/>
                <w:numId w:val="8"/>
              </w:numPr>
              <w:ind w:left="950"/>
              <w:rPr>
                <w:sz w:val="22"/>
                <w:szCs w:val="22"/>
                <w:lang w:val="ro-RO"/>
              </w:rPr>
            </w:pPr>
            <w:r w:rsidRPr="003C2804">
              <w:rPr>
                <w:sz w:val="22"/>
                <w:szCs w:val="22"/>
                <w:lang w:val="ro-RO"/>
              </w:rPr>
              <w:t>Băncii Naţionale a României,</w:t>
            </w:r>
          </w:p>
          <w:p w:rsidR="003C2804" w:rsidRPr="003C2804" w:rsidRDefault="003C2804" w:rsidP="00902A9C">
            <w:pPr>
              <w:numPr>
                <w:ilvl w:val="0"/>
                <w:numId w:val="8"/>
              </w:numPr>
              <w:ind w:left="950"/>
              <w:rPr>
                <w:sz w:val="22"/>
                <w:szCs w:val="22"/>
                <w:lang w:val="ro-RO"/>
              </w:rPr>
            </w:pPr>
            <w:r w:rsidRPr="003C2804">
              <w:rPr>
                <w:sz w:val="22"/>
                <w:szCs w:val="22"/>
                <w:lang w:val="ro-RO"/>
              </w:rPr>
              <w:t>sindicatelor,</w:t>
            </w:r>
          </w:p>
          <w:p w:rsidR="003C2804" w:rsidRPr="003C2804" w:rsidRDefault="003C2804" w:rsidP="00902A9C">
            <w:pPr>
              <w:numPr>
                <w:ilvl w:val="0"/>
                <w:numId w:val="8"/>
              </w:numPr>
              <w:ind w:left="950"/>
              <w:rPr>
                <w:sz w:val="22"/>
                <w:szCs w:val="22"/>
                <w:lang w:val="ro-RO"/>
              </w:rPr>
            </w:pPr>
            <w:r w:rsidRPr="003C2804">
              <w:rPr>
                <w:sz w:val="22"/>
                <w:szCs w:val="22"/>
                <w:lang w:val="ro-RO"/>
              </w:rPr>
              <w:t>organizaţiilor patronale,</w:t>
            </w:r>
          </w:p>
          <w:p w:rsidR="003C2804" w:rsidRPr="003C2804" w:rsidRDefault="003C2804" w:rsidP="00902A9C">
            <w:pPr>
              <w:numPr>
                <w:ilvl w:val="0"/>
                <w:numId w:val="8"/>
              </w:numPr>
              <w:ind w:left="950"/>
              <w:rPr>
                <w:sz w:val="22"/>
                <w:szCs w:val="22"/>
                <w:lang w:val="ro-RO"/>
              </w:rPr>
            </w:pPr>
            <w:r w:rsidRPr="003C2804">
              <w:rPr>
                <w:sz w:val="22"/>
                <w:szCs w:val="22"/>
                <w:lang w:val="ro-RO"/>
              </w:rPr>
              <w:t>mass-mediei,</w:t>
            </w:r>
          </w:p>
          <w:p w:rsidR="003C2804" w:rsidRPr="003C2804" w:rsidRDefault="003C2804" w:rsidP="00902A9C">
            <w:pPr>
              <w:numPr>
                <w:ilvl w:val="0"/>
                <w:numId w:val="8"/>
              </w:numPr>
              <w:ind w:left="950"/>
              <w:rPr>
                <w:sz w:val="22"/>
                <w:szCs w:val="22"/>
                <w:lang w:val="ro-RO"/>
              </w:rPr>
            </w:pPr>
            <w:r w:rsidRPr="003C2804">
              <w:rPr>
                <w:sz w:val="22"/>
                <w:szCs w:val="22"/>
                <w:lang w:val="ro-RO"/>
              </w:rPr>
              <w:t>asociaţiilor profesionale.</w:t>
            </w:r>
          </w:p>
          <w:p w:rsidR="003C2804" w:rsidRPr="003C2804" w:rsidRDefault="003C2804" w:rsidP="003C2804">
            <w:pPr>
              <w:spacing w:before="30" w:after="30"/>
              <w:jc w:val="both"/>
              <w:rPr>
                <w:sz w:val="22"/>
                <w:szCs w:val="22"/>
                <w:lang w:val="ro-RO"/>
              </w:rPr>
            </w:pPr>
            <w:r w:rsidRPr="003C2804">
              <w:rPr>
                <w:sz w:val="22"/>
                <w:szCs w:val="22"/>
                <w:lang w:val="ro-RO"/>
              </w:rPr>
              <w:t>Reprezentanţii Consiliului se întâlnesc trimestrial sau ori de câte ori este necesar, în grupuri de lucru pe domenii statistice. În cadrul acestor întâlniri, INS primeşte un puternic feed-back din partea utilizatorilor, cu privire la rezultatele deja diseminate (inclusiv nivelul de detaliere, etc.) şi cereri pentru alte informaţii de care ar mai fi nevoie şi care trebuie să fie avute în vedere în următoarele cercetări statistice.</w:t>
            </w:r>
          </w:p>
          <w:p w:rsidR="003C2804" w:rsidRPr="003C2804" w:rsidRDefault="003C2804" w:rsidP="003C2804">
            <w:pPr>
              <w:spacing w:before="30" w:after="30"/>
              <w:rPr>
                <w:sz w:val="22"/>
                <w:szCs w:val="22"/>
                <w:lang w:val="ro-RO"/>
              </w:rPr>
            </w:pPr>
            <w:r w:rsidRPr="003C2804">
              <w:rPr>
                <w:rStyle w:val="Strong"/>
                <w:sz w:val="22"/>
                <w:szCs w:val="22"/>
                <w:lang w:val="ro-RO"/>
              </w:rPr>
              <w:t>(ii) utilizatori externi:</w:t>
            </w:r>
          </w:p>
          <w:p w:rsidR="003C2804" w:rsidRPr="003C2804" w:rsidRDefault="003C2804" w:rsidP="00902A9C">
            <w:pPr>
              <w:numPr>
                <w:ilvl w:val="0"/>
                <w:numId w:val="5"/>
              </w:numPr>
              <w:ind w:left="950"/>
              <w:rPr>
                <w:sz w:val="22"/>
                <w:szCs w:val="22"/>
                <w:lang w:val="ro-RO"/>
              </w:rPr>
            </w:pPr>
            <w:r w:rsidRPr="003C2804">
              <w:rPr>
                <w:sz w:val="22"/>
                <w:szCs w:val="22"/>
                <w:lang w:val="ro-RO"/>
              </w:rPr>
              <w:t>Eurostat;</w:t>
            </w:r>
          </w:p>
          <w:p w:rsidR="003C2804" w:rsidRPr="003C2804" w:rsidRDefault="003C2804" w:rsidP="00902A9C">
            <w:pPr>
              <w:numPr>
                <w:ilvl w:val="0"/>
                <w:numId w:val="5"/>
              </w:numPr>
              <w:ind w:left="950"/>
              <w:rPr>
                <w:sz w:val="22"/>
                <w:szCs w:val="22"/>
                <w:lang w:val="ro-RO"/>
              </w:rPr>
            </w:pPr>
            <w:r w:rsidRPr="003C2804">
              <w:rPr>
                <w:sz w:val="22"/>
                <w:szCs w:val="22"/>
                <w:lang w:val="ro-RO"/>
              </w:rPr>
              <w:t>Institutele străine de cercetare;</w:t>
            </w:r>
          </w:p>
          <w:p w:rsidR="003C2804" w:rsidRPr="003C2804" w:rsidRDefault="003C2804" w:rsidP="00902A9C">
            <w:pPr>
              <w:numPr>
                <w:ilvl w:val="0"/>
                <w:numId w:val="5"/>
              </w:numPr>
              <w:ind w:left="950"/>
              <w:rPr>
                <w:sz w:val="22"/>
                <w:szCs w:val="22"/>
                <w:lang w:val="ro-RO"/>
              </w:rPr>
            </w:pPr>
            <w:r w:rsidRPr="003C2804">
              <w:rPr>
                <w:sz w:val="22"/>
                <w:szCs w:val="22"/>
                <w:lang w:val="ro-RO"/>
              </w:rPr>
              <w:t>Angajatorii străini (investitori).</w:t>
            </w:r>
          </w:p>
        </w:tc>
      </w:tr>
      <w:tr w:rsidR="003C2804" w:rsidRPr="0038436D" w:rsidTr="00E566C1">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3C2804" w:rsidRPr="003C2804" w:rsidRDefault="003C2804" w:rsidP="003C2804">
            <w:pPr>
              <w:rPr>
                <w:rFonts w:ascii="Bookman Old Style" w:hAnsi="Bookman Old Style"/>
                <w:b/>
                <w:bCs/>
                <w:sz w:val="20"/>
                <w:szCs w:val="20"/>
                <w:lang w:val="ro-RO"/>
              </w:rPr>
            </w:pPr>
            <w:bookmarkStart w:id="27" w:name="completeness"/>
            <w:bookmarkEnd w:id="27"/>
            <w:r w:rsidRPr="003C2804">
              <w:rPr>
                <w:b/>
                <w:bCs/>
                <w:sz w:val="22"/>
                <w:szCs w:val="22"/>
                <w:lang w:val="ro-RO"/>
              </w:rPr>
              <w:t>5.3. Gradul de acoperire</w:t>
            </w:r>
          </w:p>
        </w:tc>
      </w:tr>
      <w:tr w:rsidR="003C2804" w:rsidRPr="0038436D" w:rsidTr="00E566C1">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3C2804" w:rsidRPr="003C2804" w:rsidRDefault="003C2804" w:rsidP="003C2804">
            <w:pPr>
              <w:pStyle w:val="Style16"/>
              <w:widowControl/>
              <w:spacing w:before="60" w:line="240" w:lineRule="auto"/>
              <w:rPr>
                <w:rFonts w:ascii="Bookman Old Style" w:hAnsi="Bookman Old Style"/>
                <w:b/>
                <w:bCs/>
                <w:sz w:val="20"/>
                <w:szCs w:val="20"/>
                <w:lang w:val="ro-RO"/>
              </w:rPr>
            </w:pPr>
            <w:r w:rsidRPr="003C2804">
              <w:rPr>
                <w:rFonts w:ascii="Times New Roman" w:hAnsi="Times New Roman"/>
                <w:sz w:val="22"/>
                <w:szCs w:val="22"/>
                <w:lang w:val="ro-RO"/>
              </w:rPr>
              <w:t>100%. Nu lipseşte nicio variabilă sau defalcare.</w:t>
            </w:r>
          </w:p>
        </w:tc>
      </w:tr>
      <w:tr w:rsidR="003C2804" w:rsidRPr="0038436D" w:rsidTr="00E566C1">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3C2804" w:rsidRPr="003C2804" w:rsidRDefault="003C2804" w:rsidP="003C2804">
            <w:pPr>
              <w:rPr>
                <w:rFonts w:ascii="Bookman Old Style" w:hAnsi="Bookman Old Style"/>
                <w:b/>
                <w:bCs/>
                <w:sz w:val="20"/>
                <w:szCs w:val="20"/>
                <w:lang w:val="ro-RO"/>
              </w:rPr>
            </w:pPr>
            <w:bookmarkStart w:id="28" w:name="completeness_rate"/>
            <w:bookmarkEnd w:id="28"/>
            <w:r w:rsidRPr="003C2804">
              <w:rPr>
                <w:b/>
                <w:bCs/>
                <w:sz w:val="22"/>
                <w:szCs w:val="22"/>
                <w:lang w:val="ro-RO"/>
              </w:rPr>
              <w:t>5.3.1. Gradul de acoperire - rata</w:t>
            </w:r>
          </w:p>
        </w:tc>
      </w:tr>
      <w:tr w:rsidR="003C2804" w:rsidRPr="0038436D" w:rsidTr="00E566C1">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3C2804" w:rsidRPr="003C2804" w:rsidRDefault="003C2804" w:rsidP="003C2804">
            <w:pPr>
              <w:pStyle w:val="Style16"/>
              <w:widowControl/>
              <w:spacing w:before="60" w:line="240" w:lineRule="auto"/>
              <w:rPr>
                <w:rFonts w:ascii="Times New Roman" w:hAnsi="Times New Roman"/>
                <w:b/>
                <w:bCs/>
                <w:sz w:val="20"/>
                <w:szCs w:val="20"/>
                <w:lang w:val="ro-RO"/>
              </w:rPr>
            </w:pPr>
            <w:r w:rsidRPr="003C2804">
              <w:rPr>
                <w:rFonts w:ascii="Times New Roman" w:hAnsi="Times New Roman"/>
                <w:sz w:val="22"/>
                <w:szCs w:val="22"/>
                <w:lang w:val="ro-RO"/>
              </w:rPr>
              <w:t>100%</w:t>
            </w:r>
          </w:p>
        </w:tc>
      </w:tr>
    </w:tbl>
    <w:p w:rsidR="00832C90" w:rsidRPr="0038436D" w:rsidRDefault="00832C90">
      <w:pPr>
        <w:pStyle w:val="doccommon1"/>
        <w:shd w:val="clear" w:color="auto" w:fill="FFFFFF"/>
        <w:rPr>
          <w:rFonts w:ascii="Bookman Old Style" w:hAnsi="Bookman Old Style"/>
          <w:sz w:val="20"/>
          <w:szCs w:val="20"/>
          <w:lang w:val="en-GB"/>
        </w:rPr>
      </w:pPr>
    </w:p>
    <w:tbl>
      <w:tblPr>
        <w:tblW w:w="4976" w:type="pct"/>
        <w:tblCellMar>
          <w:left w:w="0" w:type="dxa"/>
          <w:right w:w="0" w:type="dxa"/>
        </w:tblCellMar>
        <w:tblLook w:val="00A0" w:firstRow="1" w:lastRow="0" w:firstColumn="1" w:lastColumn="0" w:noHBand="0" w:noVBand="0"/>
      </w:tblPr>
      <w:tblGrid>
        <w:gridCol w:w="9848"/>
      </w:tblGrid>
      <w:tr w:rsidR="00832C9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3670FA" w:rsidRDefault="00165A39">
            <w:pPr>
              <w:rPr>
                <w:rFonts w:ascii="Bookman Old Style" w:hAnsi="Bookman Old Style"/>
                <w:b/>
                <w:bCs/>
                <w:sz w:val="20"/>
                <w:szCs w:val="20"/>
                <w:lang w:val="ro-RO"/>
              </w:rPr>
            </w:pPr>
            <w:bookmarkStart w:id="29" w:name="accuracy_reliability1502954759597"/>
            <w:bookmarkEnd w:id="29"/>
            <w:r w:rsidRPr="003670FA">
              <w:rPr>
                <w:b/>
                <w:bCs/>
                <w:sz w:val="32"/>
                <w:szCs w:val="32"/>
                <w:lang w:val="ro-RO"/>
              </w:rPr>
              <w:t>6. Acurateţea și fiabilitatea</w:t>
            </w:r>
          </w:p>
        </w:tc>
      </w:tr>
      <w:tr w:rsidR="00832C9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3670FA" w:rsidRDefault="00165A39" w:rsidP="00367145">
            <w:pPr>
              <w:jc w:val="both"/>
              <w:rPr>
                <w:rFonts w:ascii="Bookman Old Style" w:hAnsi="Bookman Old Style"/>
                <w:b/>
                <w:bCs/>
                <w:sz w:val="20"/>
                <w:szCs w:val="20"/>
                <w:lang w:val="ro-RO"/>
              </w:rPr>
            </w:pPr>
            <w:bookmarkStart w:id="30" w:name="accuracy_overall"/>
            <w:bookmarkEnd w:id="30"/>
            <w:r w:rsidRPr="003670FA">
              <w:rPr>
                <w:b/>
                <w:bCs/>
                <w:sz w:val="22"/>
                <w:szCs w:val="22"/>
                <w:lang w:val="ro-RO"/>
              </w:rPr>
              <w:t>6.1. Acurateţea – descrierea generală</w:t>
            </w:r>
          </w:p>
        </w:tc>
      </w:tr>
      <w:tr w:rsidR="00832C9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3670FA" w:rsidRDefault="00165A39" w:rsidP="00B54920">
            <w:pPr>
              <w:pStyle w:val="Style16"/>
              <w:widowControl/>
              <w:spacing w:before="60" w:line="240" w:lineRule="auto"/>
              <w:rPr>
                <w:rFonts w:ascii="Times New Roman" w:hAnsi="Times New Roman"/>
                <w:b/>
                <w:bCs/>
                <w:sz w:val="20"/>
                <w:szCs w:val="20"/>
                <w:lang w:val="ro-RO"/>
              </w:rPr>
            </w:pPr>
            <w:r w:rsidRPr="003670FA">
              <w:rPr>
                <w:rFonts w:ascii="Times New Roman" w:hAnsi="Times New Roman"/>
                <w:sz w:val="22"/>
                <w:szCs w:val="22"/>
                <w:lang w:val="ro-RO"/>
              </w:rPr>
              <w:t>Descrierea detaliată se regăseşte la punctele următoare.</w:t>
            </w:r>
          </w:p>
        </w:tc>
      </w:tr>
      <w:tr w:rsidR="00832C9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3670FA" w:rsidRDefault="00165A39" w:rsidP="00367145">
            <w:pPr>
              <w:jc w:val="both"/>
              <w:rPr>
                <w:rFonts w:ascii="Bookman Old Style" w:hAnsi="Bookman Old Style"/>
                <w:b/>
                <w:bCs/>
                <w:sz w:val="20"/>
                <w:szCs w:val="20"/>
                <w:lang w:val="ro-RO"/>
              </w:rPr>
            </w:pPr>
            <w:bookmarkStart w:id="31" w:name="sampling_err"/>
            <w:bookmarkEnd w:id="31"/>
            <w:r w:rsidRPr="003670FA">
              <w:rPr>
                <w:b/>
                <w:bCs/>
                <w:sz w:val="22"/>
                <w:szCs w:val="22"/>
                <w:lang w:val="ro-RO"/>
              </w:rPr>
              <w:t>6.2. Erori de eşantionare</w:t>
            </w:r>
          </w:p>
        </w:tc>
      </w:tr>
      <w:tr w:rsidR="003670FA"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3670FA" w:rsidRPr="003670FA" w:rsidRDefault="003670FA" w:rsidP="003670FA">
            <w:pPr>
              <w:spacing w:before="30" w:after="30"/>
              <w:jc w:val="both"/>
              <w:rPr>
                <w:sz w:val="22"/>
                <w:szCs w:val="22"/>
                <w:lang w:val="ro-RO"/>
              </w:rPr>
            </w:pPr>
            <w:r w:rsidRPr="003670FA">
              <w:rPr>
                <w:sz w:val="22"/>
                <w:szCs w:val="22"/>
                <w:lang w:val="ro-RO"/>
              </w:rPr>
              <w:t>Eşantionul de întreprinderi a fost selectat în conformitate cu planul de sondaj stratificat (selecţie simplă aleatoare în cadrul straturilor). Procedeul de selecţie aplicat în cadrul straturilor este procedeul extragerii fără revenire. Straturile au fost construite prin gruparea populaţiei de referinţă folosind ca variabile de stratificare activitatea principală codificată conform CAEN Rev. 2 şi clasa de mărime după numărul de salariaţi. Conform recomandărilor Eurostat, stratificarea eşantionului trebuie să respecte următoarea specificaţie minimă:</w:t>
            </w:r>
          </w:p>
          <w:p w:rsidR="003670FA" w:rsidRPr="003670FA" w:rsidRDefault="003670FA" w:rsidP="00902A9C">
            <w:pPr>
              <w:numPr>
                <w:ilvl w:val="0"/>
                <w:numId w:val="9"/>
              </w:numPr>
              <w:ind w:left="950"/>
              <w:jc w:val="both"/>
              <w:rPr>
                <w:sz w:val="22"/>
                <w:szCs w:val="22"/>
                <w:lang w:val="ro-RO"/>
              </w:rPr>
            </w:pPr>
            <w:r w:rsidRPr="003670FA">
              <w:rPr>
                <w:sz w:val="22"/>
                <w:szCs w:val="22"/>
                <w:lang w:val="ro-RO"/>
              </w:rPr>
              <w:t>20 de categorii CAEN Rev. 2 [B, C10-C12, C13-C15, C17-C18, C19-C23, C24-C25, C26-C28+C33, C29-C30, C16+C31-C32, D-E, F, G45, G46, G47, H, I, J, K64-K65, K66, L+M+N+R+S];</w:t>
            </w:r>
          </w:p>
          <w:p w:rsidR="003670FA" w:rsidRPr="003670FA" w:rsidRDefault="003670FA" w:rsidP="00902A9C">
            <w:pPr>
              <w:numPr>
                <w:ilvl w:val="0"/>
                <w:numId w:val="9"/>
              </w:numPr>
              <w:ind w:left="950"/>
              <w:jc w:val="both"/>
              <w:rPr>
                <w:sz w:val="22"/>
                <w:szCs w:val="22"/>
                <w:lang w:val="ro-RO"/>
              </w:rPr>
            </w:pPr>
            <w:r w:rsidRPr="003670FA">
              <w:rPr>
                <w:sz w:val="22"/>
                <w:szCs w:val="22"/>
                <w:lang w:val="ro-RO"/>
              </w:rPr>
              <w:t>3 clase de mărime ale întreprinderilor, în funcție de numărul de salariați: (10-49), (50-249) și 250 și peste.</w:t>
            </w:r>
          </w:p>
          <w:p w:rsidR="003670FA" w:rsidRPr="003670FA" w:rsidRDefault="003670FA" w:rsidP="003670FA">
            <w:pPr>
              <w:spacing w:before="30" w:after="30"/>
              <w:jc w:val="both"/>
              <w:rPr>
                <w:sz w:val="22"/>
                <w:szCs w:val="22"/>
                <w:lang w:val="ro-RO"/>
              </w:rPr>
            </w:pPr>
            <w:r w:rsidRPr="003670FA">
              <w:rPr>
                <w:sz w:val="22"/>
                <w:szCs w:val="22"/>
                <w:lang w:val="ro-RO"/>
              </w:rPr>
              <w:t>Straturile sunt definite prin încrucișarea categoriilor CAEN cu cele 3 clase de mărime ale întreprinderilor. Alocarea pe straturi s-a făcut prin utilizarea metodei Neyman.</w:t>
            </w:r>
          </w:p>
          <w:p w:rsidR="003670FA" w:rsidRPr="003670FA" w:rsidRDefault="003670FA" w:rsidP="003670FA">
            <w:pPr>
              <w:spacing w:before="30" w:after="30"/>
              <w:jc w:val="center"/>
              <w:rPr>
                <w:sz w:val="22"/>
                <w:szCs w:val="22"/>
                <w:lang w:val="ro-RO"/>
              </w:rPr>
            </w:pPr>
            <w:r w:rsidRPr="003670FA">
              <w:rPr>
                <w:rFonts w:ascii="Bookman Old Style" w:hAnsi="Bookman Old Style" w:cs="Arial"/>
                <w:position w:val="-50"/>
                <w:sz w:val="18"/>
                <w:szCs w:val="18"/>
                <w:lang w:val="ro-RO"/>
              </w:rPr>
              <w:object w:dxaOrig="1320" w:dyaOrig="900" w14:anchorId="54B30DF1">
                <v:shape id="_x0000_i1027" type="#_x0000_t75" style="width:74.25pt;height:48pt" o:ole="">
                  <v:imagedata r:id="rId15" o:title=""/>
                </v:shape>
                <o:OLEObject Type="Embed" ProgID="Equation.3" ShapeID="_x0000_i1027" DrawAspect="Content" ObjectID="_1582627576" r:id="rId16"/>
              </w:object>
            </w:r>
          </w:p>
          <w:p w:rsidR="003670FA" w:rsidRPr="003670FA" w:rsidRDefault="003670FA" w:rsidP="003670FA">
            <w:pPr>
              <w:spacing w:before="30" w:after="30"/>
              <w:rPr>
                <w:sz w:val="22"/>
                <w:szCs w:val="22"/>
                <w:lang w:val="ro-RO"/>
              </w:rPr>
            </w:pPr>
            <w:r w:rsidRPr="003670FA">
              <w:rPr>
                <w:rStyle w:val="Emphasis"/>
                <w:sz w:val="22"/>
                <w:szCs w:val="22"/>
                <w:lang w:val="ro-RO"/>
              </w:rPr>
              <w:t>unde:</w:t>
            </w:r>
          </w:p>
          <w:p w:rsidR="003670FA" w:rsidRPr="003670FA" w:rsidRDefault="003670FA" w:rsidP="003670FA">
            <w:pPr>
              <w:spacing w:before="30" w:after="30"/>
              <w:rPr>
                <w:sz w:val="22"/>
                <w:szCs w:val="22"/>
                <w:lang w:val="ro-RO"/>
              </w:rPr>
            </w:pPr>
            <w:r w:rsidRPr="003670FA">
              <w:rPr>
                <w:rStyle w:val="Emphasis"/>
                <w:sz w:val="22"/>
                <w:szCs w:val="22"/>
                <w:lang w:val="ro-RO"/>
              </w:rPr>
              <w:t>h</w:t>
            </w:r>
            <w:r w:rsidRPr="003670FA">
              <w:rPr>
                <w:sz w:val="22"/>
                <w:szCs w:val="22"/>
                <w:lang w:val="ro-RO"/>
              </w:rPr>
              <w:t>=</w:t>
            </w:r>
            <w:r w:rsidRPr="003670FA">
              <w:rPr>
                <w:lang w:val="ro-RO"/>
              </w:rPr>
              <w:t xml:space="preserve"> </w:t>
            </w:r>
            <w:r w:rsidRPr="003670FA">
              <w:rPr>
                <w:sz w:val="22"/>
                <w:szCs w:val="22"/>
                <w:lang w:val="ro-RO"/>
              </w:rPr>
              <w:t>indicele straturilor</w:t>
            </w:r>
          </w:p>
          <w:p w:rsidR="003670FA" w:rsidRPr="003670FA" w:rsidRDefault="003670FA" w:rsidP="003670FA">
            <w:pPr>
              <w:spacing w:before="30" w:after="30"/>
              <w:rPr>
                <w:sz w:val="22"/>
                <w:szCs w:val="22"/>
                <w:lang w:val="ro-RO"/>
              </w:rPr>
            </w:pPr>
            <w:r w:rsidRPr="003670FA">
              <w:rPr>
                <w:rStyle w:val="Emphasis"/>
                <w:sz w:val="22"/>
                <w:szCs w:val="22"/>
                <w:lang w:val="ro-RO"/>
              </w:rPr>
              <w:t>n</w:t>
            </w:r>
            <w:r w:rsidRPr="003670FA">
              <w:rPr>
                <w:rStyle w:val="Emphasis"/>
                <w:sz w:val="22"/>
                <w:szCs w:val="22"/>
                <w:vertAlign w:val="subscript"/>
                <w:lang w:val="ro-RO"/>
              </w:rPr>
              <w:t>h</w:t>
            </w:r>
            <w:r w:rsidRPr="003670FA">
              <w:rPr>
                <w:rStyle w:val="Emphasis"/>
                <w:sz w:val="22"/>
                <w:szCs w:val="22"/>
                <w:lang w:val="ro-RO"/>
              </w:rPr>
              <w:t>=</w:t>
            </w:r>
            <w:r w:rsidRPr="003670FA">
              <w:rPr>
                <w:lang w:val="ro-RO"/>
              </w:rPr>
              <w:t xml:space="preserve"> </w:t>
            </w:r>
            <w:r w:rsidRPr="003670FA">
              <w:rPr>
                <w:sz w:val="22"/>
                <w:szCs w:val="22"/>
                <w:lang w:val="ro-RO"/>
              </w:rPr>
              <w:t>numărul de unităţi selectate în eşantion din celula de selecţie h</w:t>
            </w:r>
          </w:p>
          <w:p w:rsidR="003670FA" w:rsidRPr="003670FA" w:rsidRDefault="003670FA" w:rsidP="003670FA">
            <w:pPr>
              <w:spacing w:before="30" w:after="30"/>
              <w:rPr>
                <w:sz w:val="22"/>
                <w:szCs w:val="22"/>
                <w:lang w:val="ro-RO"/>
              </w:rPr>
            </w:pPr>
            <w:r w:rsidRPr="003670FA">
              <w:rPr>
                <w:rStyle w:val="Emphasis"/>
                <w:sz w:val="22"/>
                <w:szCs w:val="22"/>
                <w:lang w:val="ro-RO"/>
              </w:rPr>
              <w:t>n=</w:t>
            </w:r>
            <w:r w:rsidRPr="003670FA">
              <w:rPr>
                <w:lang w:val="ro-RO"/>
              </w:rPr>
              <w:t xml:space="preserve"> </w:t>
            </w:r>
            <w:r w:rsidRPr="003670FA">
              <w:rPr>
                <w:sz w:val="22"/>
                <w:szCs w:val="22"/>
                <w:lang w:val="ro-RO"/>
              </w:rPr>
              <w:t>numărul de unităţi selectate în eşantion</w:t>
            </w:r>
          </w:p>
          <w:p w:rsidR="003670FA" w:rsidRPr="003670FA" w:rsidRDefault="003670FA" w:rsidP="003670FA">
            <w:pPr>
              <w:spacing w:before="30" w:after="30"/>
              <w:rPr>
                <w:sz w:val="22"/>
                <w:szCs w:val="22"/>
                <w:lang w:val="ro-RO"/>
              </w:rPr>
            </w:pPr>
            <w:r w:rsidRPr="003670FA">
              <w:rPr>
                <w:rStyle w:val="Emphasis"/>
                <w:sz w:val="22"/>
                <w:szCs w:val="22"/>
                <w:lang w:val="ro-RO"/>
              </w:rPr>
              <w:t>N</w:t>
            </w:r>
            <w:r w:rsidRPr="003670FA">
              <w:rPr>
                <w:rStyle w:val="Emphasis"/>
                <w:sz w:val="22"/>
                <w:szCs w:val="22"/>
                <w:vertAlign w:val="subscript"/>
                <w:lang w:val="ro-RO"/>
              </w:rPr>
              <w:t xml:space="preserve">h </w:t>
            </w:r>
            <w:r w:rsidRPr="003670FA">
              <w:rPr>
                <w:sz w:val="22"/>
                <w:szCs w:val="22"/>
                <w:lang w:val="ro-RO"/>
              </w:rPr>
              <w:t>=</w:t>
            </w:r>
            <w:r w:rsidRPr="003670FA">
              <w:rPr>
                <w:lang w:val="ro-RO"/>
              </w:rPr>
              <w:t xml:space="preserve"> </w:t>
            </w:r>
            <w:r w:rsidRPr="003670FA">
              <w:rPr>
                <w:sz w:val="22"/>
                <w:szCs w:val="22"/>
                <w:lang w:val="ro-RO"/>
              </w:rPr>
              <w:t>numărul de unităţi din celula de selecţie h</w:t>
            </w:r>
          </w:p>
          <w:p w:rsidR="003670FA" w:rsidRPr="003670FA" w:rsidRDefault="003670FA" w:rsidP="003670FA">
            <w:pPr>
              <w:spacing w:before="30" w:after="30"/>
              <w:rPr>
                <w:sz w:val="22"/>
                <w:szCs w:val="22"/>
                <w:lang w:val="ro-RO"/>
              </w:rPr>
            </w:pPr>
            <w:r w:rsidRPr="003670FA">
              <w:rPr>
                <w:sz w:val="22"/>
                <w:szCs w:val="22"/>
                <w:lang w:val="ro-RO"/>
              </w:rPr>
              <w:t>σ</w:t>
            </w:r>
            <w:r w:rsidRPr="003670FA">
              <w:rPr>
                <w:sz w:val="22"/>
                <w:szCs w:val="22"/>
                <w:vertAlign w:val="subscript"/>
                <w:lang w:val="ro-RO"/>
              </w:rPr>
              <w:t>h</w:t>
            </w:r>
            <w:r w:rsidRPr="003670FA">
              <w:rPr>
                <w:sz w:val="22"/>
                <w:szCs w:val="22"/>
                <w:lang w:val="ro-RO"/>
              </w:rPr>
              <w:t>=</w:t>
            </w:r>
            <w:r w:rsidRPr="003670FA">
              <w:rPr>
                <w:lang w:val="ro-RO"/>
              </w:rPr>
              <w:t xml:space="preserve"> </w:t>
            </w:r>
            <w:r w:rsidRPr="003670FA">
              <w:rPr>
                <w:sz w:val="22"/>
                <w:szCs w:val="22"/>
                <w:lang w:val="ro-RO"/>
              </w:rPr>
              <w:t>abaterea standard (calculată folosind numărul de angajaţi) din celula de selecţie h</w:t>
            </w:r>
          </w:p>
          <w:p w:rsidR="003670FA" w:rsidRPr="003670FA" w:rsidRDefault="003670FA" w:rsidP="003670FA">
            <w:pPr>
              <w:spacing w:before="30" w:after="30"/>
              <w:jc w:val="both"/>
              <w:rPr>
                <w:sz w:val="22"/>
                <w:szCs w:val="22"/>
                <w:lang w:val="ro-RO"/>
              </w:rPr>
            </w:pPr>
            <w:r w:rsidRPr="003670FA">
              <w:rPr>
                <w:sz w:val="22"/>
                <w:szCs w:val="22"/>
                <w:lang w:val="ro-RO"/>
              </w:rPr>
              <w:t>Eşantionul extras a asigurat reprezentativitatea datelor la nivelul economiei naţionale. Volumul de eşantionare s-a determinat pornind de la premisa că eroarea estimatorului medie număr de salariaţi este de 0,02, la un nivel de încredere de 95%.</w:t>
            </w:r>
          </w:p>
          <w:p w:rsidR="003670FA" w:rsidRPr="003670FA" w:rsidRDefault="003670FA" w:rsidP="003670FA">
            <w:pPr>
              <w:spacing w:before="30" w:after="30"/>
              <w:jc w:val="both"/>
              <w:rPr>
                <w:sz w:val="22"/>
                <w:szCs w:val="22"/>
                <w:lang w:val="ro-RO"/>
              </w:rPr>
            </w:pPr>
            <w:r w:rsidRPr="003670FA">
              <w:rPr>
                <w:sz w:val="22"/>
                <w:szCs w:val="22"/>
                <w:lang w:val="ro-RO"/>
              </w:rPr>
              <w:t>Pentru asigurarea obţinerii unui număr suficient de mare de răspunsuri din partea unităţilor raportoare a fost impus un prag minim de 65 unităţi selectate la nivel de strat (acolo unde au existat unităţi). Întreprinderile cu 250 salariaţi şi peste au fost incluse exhaustiv în cercetare.</w:t>
            </w:r>
            <w:r w:rsidRPr="003670FA">
              <w:rPr>
                <w:lang w:val="ro-RO"/>
              </w:rPr>
              <w:t xml:space="preserve"> </w:t>
            </w:r>
            <w:r w:rsidRPr="003670FA">
              <w:rPr>
                <w:sz w:val="22"/>
                <w:szCs w:val="22"/>
                <w:lang w:val="ro-RO"/>
              </w:rPr>
              <w:t>De asemenea, au fost incluse întreprinderile comune din "Ancheta</w:t>
            </w:r>
            <w:r w:rsidR="007A1C44">
              <w:rPr>
                <w:sz w:val="22"/>
                <w:szCs w:val="22"/>
                <w:lang w:val="ro-RO"/>
              </w:rPr>
              <w:t xml:space="preserve"> privind costul forței de muncă</w:t>
            </w:r>
            <w:r w:rsidRPr="003670FA">
              <w:rPr>
                <w:sz w:val="22"/>
                <w:szCs w:val="22"/>
                <w:lang w:val="ro-RO"/>
              </w:rPr>
              <w:t xml:space="preserve"> în anul 2014" și "Ancheta privind structura câștigurilor salariale în anul 2014", care au avut cheltuieli cu formarea profesională și ai căror angajați au petrecut timp cu formarea profesională.</w:t>
            </w:r>
          </w:p>
          <w:p w:rsidR="003670FA" w:rsidRPr="003670FA" w:rsidRDefault="003670FA" w:rsidP="003670FA">
            <w:pPr>
              <w:spacing w:before="30" w:after="30"/>
              <w:jc w:val="both"/>
              <w:rPr>
                <w:sz w:val="22"/>
                <w:szCs w:val="22"/>
                <w:lang w:val="ro-RO"/>
              </w:rPr>
            </w:pPr>
            <w:r w:rsidRPr="003670FA">
              <w:rPr>
                <w:sz w:val="22"/>
                <w:szCs w:val="22"/>
                <w:lang w:val="ro-RO"/>
              </w:rPr>
              <w:t xml:space="preserve">Ancheta privind formarea profesională în întreprinderi s-a realizat pe un eşantion de aproximativ </w:t>
            </w:r>
            <w:r w:rsidRPr="003670FA">
              <w:rPr>
                <w:rStyle w:val="Emphasis"/>
                <w:b/>
                <w:bCs/>
                <w:sz w:val="22"/>
                <w:szCs w:val="22"/>
                <w:lang w:val="ro-RO"/>
              </w:rPr>
              <w:t>9100 întreprinderi</w:t>
            </w:r>
            <w:r w:rsidRPr="003670FA">
              <w:rPr>
                <w:sz w:val="22"/>
                <w:szCs w:val="22"/>
                <w:lang w:val="ro-RO"/>
              </w:rPr>
              <w:t xml:space="preserve"> .</w:t>
            </w:r>
          </w:p>
          <w:p w:rsidR="003670FA" w:rsidRPr="003670FA" w:rsidRDefault="003670FA" w:rsidP="003670FA">
            <w:pPr>
              <w:spacing w:before="30" w:after="30"/>
              <w:rPr>
                <w:sz w:val="22"/>
                <w:szCs w:val="22"/>
                <w:lang w:val="ro-RO"/>
              </w:rPr>
            </w:pPr>
            <w:r w:rsidRPr="003670FA">
              <w:rPr>
                <w:sz w:val="22"/>
                <w:szCs w:val="22"/>
                <w:lang w:val="ro-RO"/>
              </w:rPr>
              <w:t>Calculul coeficienţilor de extindere a rezultatelor a fost realizat parcurgând următoarele etape de lucru:</w:t>
            </w:r>
          </w:p>
          <w:p w:rsidR="003670FA" w:rsidRPr="003670FA" w:rsidRDefault="003670FA" w:rsidP="003670FA">
            <w:pPr>
              <w:spacing w:before="30" w:after="30"/>
              <w:jc w:val="both"/>
              <w:rPr>
                <w:sz w:val="22"/>
                <w:szCs w:val="22"/>
                <w:lang w:val="ro-RO"/>
              </w:rPr>
            </w:pPr>
            <w:r w:rsidRPr="003670FA">
              <w:rPr>
                <w:sz w:val="22"/>
                <w:szCs w:val="22"/>
                <w:lang w:val="ro-RO"/>
              </w:rPr>
              <w:t>1. Ataşarea fiecărei unităţi selectate a ponderii de selecţie. Ponderea de selecţie este o pondere Horvitz-Thompson şi s-a calculat ca inversul probabilităţii de selecţie.</w:t>
            </w:r>
          </w:p>
          <w:p w:rsidR="003670FA" w:rsidRPr="003670FA" w:rsidRDefault="003670FA" w:rsidP="003670FA">
            <w:pPr>
              <w:spacing w:before="30" w:after="30"/>
              <w:jc w:val="center"/>
              <w:rPr>
                <w:sz w:val="22"/>
                <w:szCs w:val="22"/>
                <w:lang w:val="ro-RO"/>
              </w:rPr>
            </w:pPr>
            <w:r w:rsidRPr="003670FA">
              <w:rPr>
                <w:sz w:val="22"/>
                <w:szCs w:val="22"/>
                <w:lang w:val="ro-RO"/>
              </w:rPr>
              <w:t> </w:t>
            </w:r>
            <w:r w:rsidRPr="003670FA">
              <w:rPr>
                <w:rFonts w:ascii="Bookman Old Style" w:hAnsi="Bookman Old Style" w:cs="Arial"/>
                <w:position w:val="-32"/>
                <w:sz w:val="18"/>
                <w:szCs w:val="18"/>
                <w:lang w:val="ro-RO"/>
              </w:rPr>
              <w:object w:dxaOrig="1400" w:dyaOrig="720" w14:anchorId="742AB0B0">
                <v:shape id="_x0000_i1028" type="#_x0000_t75" style="width:68.25pt;height:36pt" o:ole="" fillcolor="window">
                  <v:imagedata r:id="rId17" o:title=""/>
                </v:shape>
                <o:OLEObject Type="Embed" ProgID="Equation.3" ShapeID="_x0000_i1028" DrawAspect="Content" ObjectID="_1582627577" r:id="rId18"/>
              </w:object>
            </w:r>
          </w:p>
          <w:p w:rsidR="003670FA" w:rsidRPr="003670FA" w:rsidRDefault="003670FA" w:rsidP="003670FA">
            <w:pPr>
              <w:spacing w:before="30" w:after="30"/>
              <w:rPr>
                <w:sz w:val="22"/>
                <w:szCs w:val="22"/>
                <w:lang w:val="ro-RO"/>
              </w:rPr>
            </w:pPr>
            <w:r w:rsidRPr="003670FA">
              <w:rPr>
                <w:rStyle w:val="Emphasis"/>
                <w:sz w:val="22"/>
                <w:szCs w:val="22"/>
                <w:lang w:val="ro-RO"/>
              </w:rPr>
              <w:t>unde:</w:t>
            </w:r>
          </w:p>
          <w:p w:rsidR="003670FA" w:rsidRPr="003670FA" w:rsidRDefault="003670FA" w:rsidP="003670FA">
            <w:pPr>
              <w:spacing w:before="30" w:after="30"/>
              <w:rPr>
                <w:sz w:val="22"/>
                <w:szCs w:val="22"/>
                <w:lang w:val="ro-RO"/>
              </w:rPr>
            </w:pPr>
            <w:r w:rsidRPr="003670FA">
              <w:rPr>
                <w:sz w:val="22"/>
                <w:szCs w:val="22"/>
                <w:lang w:val="ro-RO"/>
              </w:rPr>
              <w:t>p</w:t>
            </w:r>
            <w:r w:rsidRPr="003670FA">
              <w:rPr>
                <w:sz w:val="22"/>
                <w:szCs w:val="22"/>
                <w:vertAlign w:val="subscript"/>
                <w:lang w:val="ro-RO"/>
              </w:rPr>
              <w:t>ih</w:t>
            </w:r>
            <w:r w:rsidRPr="003670FA">
              <w:rPr>
                <w:sz w:val="22"/>
                <w:szCs w:val="22"/>
                <w:lang w:val="ro-RO"/>
              </w:rPr>
              <w:t> = probabilitatea de selecţie a unităţii i din celula de selecţie h</w:t>
            </w:r>
          </w:p>
          <w:p w:rsidR="003670FA" w:rsidRPr="003670FA" w:rsidRDefault="003670FA" w:rsidP="003670FA">
            <w:pPr>
              <w:spacing w:before="30" w:after="30"/>
              <w:rPr>
                <w:sz w:val="22"/>
                <w:szCs w:val="22"/>
                <w:lang w:val="ro-RO"/>
              </w:rPr>
            </w:pPr>
            <w:r w:rsidRPr="003670FA">
              <w:rPr>
                <w:sz w:val="22"/>
                <w:szCs w:val="22"/>
                <w:lang w:val="ro-RO"/>
              </w:rPr>
              <w:t>N</w:t>
            </w:r>
            <w:r w:rsidRPr="003670FA">
              <w:rPr>
                <w:sz w:val="22"/>
                <w:szCs w:val="22"/>
                <w:vertAlign w:val="subscript"/>
                <w:lang w:val="ro-RO"/>
              </w:rPr>
              <w:t>h</w:t>
            </w:r>
            <w:r w:rsidRPr="003670FA">
              <w:rPr>
                <w:sz w:val="22"/>
                <w:szCs w:val="22"/>
                <w:lang w:val="ro-RO"/>
              </w:rPr>
              <w:t>=</w:t>
            </w:r>
            <w:r w:rsidRPr="003670FA">
              <w:rPr>
                <w:lang w:val="ro-RO"/>
              </w:rPr>
              <w:t xml:space="preserve"> </w:t>
            </w:r>
            <w:r w:rsidRPr="003670FA">
              <w:rPr>
                <w:sz w:val="22"/>
                <w:szCs w:val="22"/>
                <w:lang w:val="ro-RO"/>
              </w:rPr>
              <w:t>numărul de unităţi din celula de selecţie h</w:t>
            </w:r>
          </w:p>
          <w:p w:rsidR="003670FA" w:rsidRPr="003670FA" w:rsidRDefault="003670FA" w:rsidP="003670FA">
            <w:pPr>
              <w:spacing w:before="30" w:after="30"/>
              <w:rPr>
                <w:sz w:val="22"/>
                <w:szCs w:val="22"/>
                <w:lang w:val="ro-RO"/>
              </w:rPr>
            </w:pPr>
            <w:r w:rsidRPr="003670FA">
              <w:rPr>
                <w:sz w:val="22"/>
                <w:szCs w:val="22"/>
                <w:lang w:val="ro-RO"/>
              </w:rPr>
              <w:t>n</w:t>
            </w:r>
            <w:r w:rsidRPr="003670FA">
              <w:rPr>
                <w:sz w:val="22"/>
                <w:szCs w:val="22"/>
                <w:vertAlign w:val="subscript"/>
                <w:lang w:val="ro-RO"/>
              </w:rPr>
              <w:t>h</w:t>
            </w:r>
            <w:r w:rsidRPr="003670FA">
              <w:rPr>
                <w:sz w:val="22"/>
                <w:szCs w:val="22"/>
                <w:lang w:val="ro-RO"/>
              </w:rPr>
              <w:t>= numărul de unităţi selectate în eşantion din celula de selecţie h</w:t>
            </w:r>
          </w:p>
          <w:p w:rsidR="003670FA" w:rsidRPr="003670FA" w:rsidRDefault="003670FA" w:rsidP="003670FA">
            <w:pPr>
              <w:spacing w:before="30" w:after="30"/>
              <w:jc w:val="both"/>
              <w:rPr>
                <w:sz w:val="22"/>
                <w:szCs w:val="22"/>
                <w:lang w:val="ro-RO"/>
              </w:rPr>
            </w:pPr>
            <w:r w:rsidRPr="003670FA">
              <w:rPr>
                <w:sz w:val="22"/>
                <w:szCs w:val="22"/>
                <w:lang w:val="ro-RO"/>
              </w:rPr>
              <w:t>2. Calculul coeficienţilor de redresare. Coeficienţii de redresare s-au calculat la nivelul fiecărei celule de selecţie în parte ca inversul probabilităţii de răspuns. Coeficientul de redresare are rolul de compensare a unităţilor non-repondente în ipoteza în care aceste unităţi se manifestă similar cu unităţile repondente aferente stratului din care fac parte. De asemenea, se consideră că răspunsul şi non-răspunsul sunt variabile aleatoare.</w:t>
            </w:r>
          </w:p>
          <w:p w:rsidR="003670FA" w:rsidRPr="003670FA" w:rsidRDefault="003670FA" w:rsidP="003670FA">
            <w:pPr>
              <w:spacing w:before="30" w:after="30"/>
              <w:jc w:val="center"/>
              <w:rPr>
                <w:sz w:val="22"/>
                <w:szCs w:val="22"/>
                <w:lang w:val="ro-RO"/>
              </w:rPr>
            </w:pPr>
            <w:r w:rsidRPr="003670FA">
              <w:rPr>
                <w:rFonts w:ascii="Bookman Old Style" w:hAnsi="Bookman Old Style" w:cs="Arial"/>
                <w:position w:val="-32"/>
                <w:sz w:val="18"/>
                <w:szCs w:val="18"/>
                <w:lang w:val="ro-RO"/>
              </w:rPr>
              <w:object w:dxaOrig="780" w:dyaOrig="720" w14:anchorId="24C93D7C">
                <v:shape id="_x0000_i1029" type="#_x0000_t75" style="width:55.5pt;height:36pt" o:ole="" fillcolor="window">
                  <v:imagedata r:id="rId19" o:title=""/>
                </v:shape>
                <o:OLEObject Type="Embed" ProgID="Equation.3" ShapeID="_x0000_i1029" DrawAspect="Content" ObjectID="_1582627578" r:id="rId20"/>
              </w:object>
            </w:r>
            <w:r w:rsidRPr="003670FA">
              <w:rPr>
                <w:sz w:val="22"/>
                <w:szCs w:val="22"/>
                <w:lang w:val="ro-RO"/>
              </w:rPr>
              <w:t> </w:t>
            </w:r>
          </w:p>
          <w:p w:rsidR="003670FA" w:rsidRPr="003670FA" w:rsidRDefault="003670FA" w:rsidP="003670FA">
            <w:pPr>
              <w:spacing w:before="30" w:after="30"/>
              <w:rPr>
                <w:sz w:val="22"/>
                <w:szCs w:val="22"/>
                <w:lang w:val="ro-RO"/>
              </w:rPr>
            </w:pPr>
            <w:r w:rsidRPr="003670FA">
              <w:rPr>
                <w:rStyle w:val="Emphasis"/>
                <w:sz w:val="22"/>
                <w:szCs w:val="22"/>
                <w:lang w:val="ro-RO"/>
              </w:rPr>
              <w:t>unde:</w:t>
            </w:r>
          </w:p>
          <w:p w:rsidR="003670FA" w:rsidRPr="003670FA" w:rsidRDefault="003670FA" w:rsidP="003670FA">
            <w:pPr>
              <w:spacing w:before="30" w:after="30"/>
              <w:rPr>
                <w:sz w:val="22"/>
                <w:szCs w:val="22"/>
                <w:lang w:val="ro-RO"/>
              </w:rPr>
            </w:pPr>
            <w:r w:rsidRPr="003670FA">
              <w:rPr>
                <w:rStyle w:val="Emphasis"/>
                <w:sz w:val="22"/>
                <w:szCs w:val="22"/>
                <w:lang w:val="ro-RO"/>
              </w:rPr>
              <w:t>n</w:t>
            </w:r>
            <w:r w:rsidRPr="003670FA">
              <w:rPr>
                <w:rStyle w:val="Emphasis"/>
                <w:sz w:val="22"/>
                <w:szCs w:val="22"/>
                <w:vertAlign w:val="subscript"/>
                <w:lang w:val="ro-RO"/>
              </w:rPr>
              <w:t>h</w:t>
            </w:r>
            <w:r w:rsidRPr="003670FA">
              <w:rPr>
                <w:rStyle w:val="Emphasis"/>
                <w:sz w:val="22"/>
                <w:szCs w:val="22"/>
                <w:lang w:val="ro-RO"/>
              </w:rPr>
              <w:t>=</w:t>
            </w:r>
            <w:r w:rsidRPr="003670FA">
              <w:rPr>
                <w:sz w:val="22"/>
                <w:szCs w:val="22"/>
                <w:lang w:val="ro-RO"/>
              </w:rPr>
              <w:t> numărul de unităţi selectate în eşantion din celula de selecţie h</w:t>
            </w:r>
          </w:p>
          <w:p w:rsidR="003670FA" w:rsidRPr="003670FA" w:rsidRDefault="003670FA" w:rsidP="003670FA">
            <w:pPr>
              <w:spacing w:before="30" w:after="30"/>
              <w:rPr>
                <w:sz w:val="22"/>
                <w:szCs w:val="22"/>
                <w:lang w:val="ro-RO"/>
              </w:rPr>
            </w:pPr>
            <w:r w:rsidRPr="003670FA">
              <w:rPr>
                <w:rStyle w:val="Emphasis"/>
                <w:sz w:val="22"/>
                <w:szCs w:val="22"/>
                <w:lang w:val="ro-RO"/>
              </w:rPr>
              <w:t>m</w:t>
            </w:r>
            <w:r w:rsidRPr="003670FA">
              <w:rPr>
                <w:rStyle w:val="Emphasis"/>
                <w:sz w:val="22"/>
                <w:szCs w:val="22"/>
                <w:vertAlign w:val="subscript"/>
                <w:lang w:val="ro-RO"/>
              </w:rPr>
              <w:t>h</w:t>
            </w:r>
            <w:r w:rsidRPr="003670FA">
              <w:rPr>
                <w:sz w:val="22"/>
                <w:szCs w:val="22"/>
                <w:lang w:val="ro-RO"/>
              </w:rPr>
              <w:t> = numărul de unităţi selectate în eşantion din celula de selecţie h care au răspuns la anchetă</w:t>
            </w:r>
          </w:p>
          <w:p w:rsidR="003670FA" w:rsidRPr="003670FA" w:rsidRDefault="003670FA" w:rsidP="003670FA">
            <w:pPr>
              <w:spacing w:before="30" w:after="30"/>
              <w:rPr>
                <w:rFonts w:ascii="Bookman Old Style" w:hAnsi="Bookman Old Style" w:cs="Arial"/>
                <w:sz w:val="18"/>
                <w:szCs w:val="18"/>
                <w:lang w:val="ro-RO"/>
              </w:rPr>
            </w:pPr>
            <w:r w:rsidRPr="003670FA">
              <w:rPr>
                <w:sz w:val="22"/>
                <w:szCs w:val="22"/>
                <w:lang w:val="ro-RO"/>
              </w:rPr>
              <w:t>3. Calculul coeficientului de extindere:   </w:t>
            </w:r>
            <w:r w:rsidRPr="003670FA">
              <w:rPr>
                <w:rFonts w:ascii="Bookman Old Style" w:hAnsi="Bookman Old Style" w:cs="Arial"/>
                <w:position w:val="-14"/>
                <w:sz w:val="18"/>
                <w:szCs w:val="18"/>
                <w:lang w:val="ro-RO"/>
              </w:rPr>
              <w:object w:dxaOrig="1579" w:dyaOrig="400" w14:anchorId="5748871A">
                <v:shape id="_x0000_i1030" type="#_x0000_t75" style="width:77.25pt;height:19.5pt" o:ole="" fillcolor="window">
                  <v:imagedata r:id="rId21" o:title=""/>
                </v:shape>
                <o:OLEObject Type="Embed" ProgID="Equation.3" ShapeID="_x0000_i1030" DrawAspect="Content" ObjectID="_1582627579" r:id="rId22"/>
              </w:object>
            </w:r>
          </w:p>
          <w:p w:rsidR="003670FA" w:rsidRPr="003670FA" w:rsidRDefault="003670FA" w:rsidP="003670FA">
            <w:pPr>
              <w:spacing w:before="30" w:after="30"/>
              <w:jc w:val="both"/>
              <w:rPr>
                <w:sz w:val="22"/>
                <w:szCs w:val="22"/>
                <w:lang w:val="ro-RO"/>
              </w:rPr>
            </w:pPr>
            <w:r w:rsidRPr="003670FA">
              <w:rPr>
                <w:sz w:val="22"/>
                <w:szCs w:val="22"/>
                <w:lang w:val="ro-RO"/>
              </w:rPr>
              <w:t xml:space="preserve">4. Variabila auxiliară utilizată la extinderea datelor este numărul de salariaţi. Coeficienţii finali de extindere au fost ajustaţi pe baza comparaţiei între numărul estimat de salariaţi în cazul anchetei FORPRO şi numărul de salariaţi obţinut din alte surse administrative şi statistice. Ajustarea a fost făcută la nivel de celulă, iar apoi s-a realizat verificarea la nivel de categorie CAEN, la nivel de clasă de mărime şi la nivel total. </w:t>
            </w:r>
          </w:p>
          <w:p w:rsidR="003670FA" w:rsidRPr="003670FA" w:rsidRDefault="003670FA" w:rsidP="003670FA">
            <w:pPr>
              <w:spacing w:before="30" w:after="30"/>
              <w:jc w:val="center"/>
              <w:rPr>
                <w:sz w:val="22"/>
                <w:szCs w:val="22"/>
                <w:lang w:val="ro-RO"/>
              </w:rPr>
            </w:pPr>
            <w:r w:rsidRPr="003670FA">
              <w:rPr>
                <w:rFonts w:ascii="Bookman Old Style" w:hAnsi="Bookman Old Style" w:cs="Arial"/>
                <w:position w:val="-40"/>
                <w:sz w:val="18"/>
                <w:szCs w:val="18"/>
                <w:lang w:val="ro-RO"/>
              </w:rPr>
              <w:object w:dxaOrig="2120" w:dyaOrig="800" w14:anchorId="1473CE1C">
                <v:shape id="_x0000_i1031" type="#_x0000_t75" style="width:120pt;height:45pt" o:ole="" fillcolor="window">
                  <v:imagedata r:id="rId23" o:title=""/>
                </v:shape>
                <o:OLEObject Type="Embed" ProgID="Equation.3" ShapeID="_x0000_i1031" DrawAspect="Content" ObjectID="_1582627580" r:id="rId24"/>
              </w:object>
            </w:r>
            <w:r w:rsidRPr="003670FA">
              <w:rPr>
                <w:sz w:val="22"/>
                <w:szCs w:val="22"/>
                <w:lang w:val="ro-RO"/>
              </w:rPr>
              <w:t> </w:t>
            </w:r>
          </w:p>
          <w:p w:rsidR="00E941A0" w:rsidRDefault="00E941A0" w:rsidP="003670FA">
            <w:pPr>
              <w:spacing w:before="30" w:after="30"/>
              <w:rPr>
                <w:rStyle w:val="Emphasis"/>
                <w:sz w:val="22"/>
                <w:szCs w:val="22"/>
                <w:lang w:val="ro-RO"/>
              </w:rPr>
            </w:pPr>
          </w:p>
          <w:p w:rsidR="003670FA" w:rsidRPr="003670FA" w:rsidRDefault="003670FA" w:rsidP="003670FA">
            <w:pPr>
              <w:spacing w:before="30" w:after="30"/>
              <w:rPr>
                <w:sz w:val="22"/>
                <w:szCs w:val="22"/>
                <w:lang w:val="ro-RO"/>
              </w:rPr>
            </w:pPr>
            <w:r w:rsidRPr="003670FA">
              <w:rPr>
                <w:rStyle w:val="Emphasis"/>
                <w:sz w:val="22"/>
                <w:szCs w:val="22"/>
                <w:lang w:val="ro-RO"/>
              </w:rPr>
              <w:lastRenderedPageBreak/>
              <w:t>unde:</w:t>
            </w:r>
          </w:p>
          <w:p w:rsidR="003670FA" w:rsidRPr="003670FA" w:rsidRDefault="003670FA" w:rsidP="003670FA">
            <w:pPr>
              <w:spacing w:before="30" w:after="30"/>
              <w:rPr>
                <w:sz w:val="22"/>
                <w:szCs w:val="22"/>
                <w:lang w:val="ro-RO"/>
              </w:rPr>
            </w:pPr>
            <w:r w:rsidRPr="003670FA">
              <w:rPr>
                <w:sz w:val="22"/>
                <w:szCs w:val="22"/>
                <w:lang w:val="ro-RO"/>
              </w:rPr>
              <w:t>a</w:t>
            </w:r>
            <w:r w:rsidRPr="003670FA">
              <w:rPr>
                <w:sz w:val="22"/>
                <w:szCs w:val="22"/>
                <w:vertAlign w:val="subscript"/>
                <w:lang w:val="ro-RO"/>
              </w:rPr>
              <w:t>h</w:t>
            </w:r>
            <w:r w:rsidRPr="003670FA">
              <w:rPr>
                <w:sz w:val="22"/>
                <w:szCs w:val="22"/>
                <w:lang w:val="ro-RO"/>
              </w:rPr>
              <w:t xml:space="preserve"> = coeficientul de ajustare</w:t>
            </w:r>
          </w:p>
          <w:p w:rsidR="003670FA" w:rsidRPr="003670FA" w:rsidRDefault="003670FA" w:rsidP="003670FA">
            <w:pPr>
              <w:spacing w:before="30" w:after="30"/>
              <w:rPr>
                <w:sz w:val="22"/>
                <w:szCs w:val="22"/>
                <w:lang w:val="ro-RO"/>
              </w:rPr>
            </w:pPr>
            <w:r w:rsidRPr="003670FA">
              <w:rPr>
                <w:sz w:val="22"/>
                <w:szCs w:val="22"/>
                <w:lang w:val="ro-RO"/>
              </w:rPr>
              <w:t>T</w:t>
            </w:r>
            <w:r w:rsidRPr="003670FA">
              <w:rPr>
                <w:sz w:val="22"/>
                <w:szCs w:val="22"/>
                <w:vertAlign w:val="subscript"/>
                <w:lang w:val="ro-RO"/>
              </w:rPr>
              <w:t>h</w:t>
            </w:r>
            <w:r w:rsidRPr="003670FA">
              <w:rPr>
                <w:sz w:val="22"/>
                <w:szCs w:val="22"/>
                <w:lang w:val="ro-RO"/>
              </w:rPr>
              <w:t xml:space="preserve"> = numărul de salariaţi obţinut din alte surse, în stratul h</w:t>
            </w:r>
          </w:p>
          <w:p w:rsidR="003670FA" w:rsidRPr="003670FA" w:rsidRDefault="003670FA" w:rsidP="003670FA">
            <w:pPr>
              <w:spacing w:before="30" w:after="30"/>
              <w:jc w:val="both"/>
              <w:rPr>
                <w:sz w:val="22"/>
                <w:szCs w:val="22"/>
                <w:lang w:val="ro-RO"/>
              </w:rPr>
            </w:pPr>
            <w:r w:rsidRPr="003670FA">
              <w:rPr>
                <w:rFonts w:ascii="Bookman Old Style" w:hAnsi="Bookman Old Style"/>
                <w:position w:val="-6"/>
                <w:lang w:val="ro-RO"/>
              </w:rPr>
              <w:object w:dxaOrig="320" w:dyaOrig="440" w14:anchorId="39B6BD99">
                <v:shape id="_x0000_i1032" type="#_x0000_t75" style="width:15.75pt;height:21.75pt" o:ole="">
                  <v:imagedata r:id="rId25" o:title=""/>
                </v:shape>
                <o:OLEObject Type="Embed" ProgID="Equation.3" ShapeID="_x0000_i1032" DrawAspect="Content" ObjectID="_1582627581" r:id="rId26"/>
              </w:object>
            </w:r>
            <w:r w:rsidRPr="003670FA">
              <w:rPr>
                <w:sz w:val="22"/>
                <w:szCs w:val="22"/>
                <w:lang w:val="ro-RO"/>
              </w:rPr>
              <w:t> = numărul estimat de salariaţi calculat prin aplicarea coeficientului final de</w:t>
            </w:r>
            <w:r w:rsidRPr="003670FA">
              <w:rPr>
                <w:lang w:val="ro-RO"/>
              </w:rPr>
              <w:t xml:space="preserve"> </w:t>
            </w:r>
            <w:r w:rsidRPr="003670FA">
              <w:rPr>
                <w:sz w:val="22"/>
                <w:szCs w:val="22"/>
                <w:lang w:val="ro-RO"/>
              </w:rPr>
              <w:t xml:space="preserve">extindere la numărul de salariaţi pentru unitaţile selectate în eşantion, în stratul h </w:t>
            </w:r>
          </w:p>
          <w:p w:rsidR="003670FA" w:rsidRPr="00B04EE5" w:rsidRDefault="003670FA" w:rsidP="00B04EE5">
            <w:pPr>
              <w:spacing w:before="30" w:after="30"/>
              <w:rPr>
                <w:rFonts w:ascii="Bookman Old Style" w:hAnsi="Bookman Old Style" w:cs="Arial"/>
                <w:sz w:val="22"/>
                <w:szCs w:val="22"/>
                <w:lang w:val="ro-RO"/>
              </w:rPr>
            </w:pPr>
            <w:r w:rsidRPr="003670FA">
              <w:rPr>
                <w:sz w:val="22"/>
                <w:szCs w:val="22"/>
                <w:lang w:val="ro-RO"/>
              </w:rPr>
              <w:t xml:space="preserve">5. Coeficientul final de extindere, pentru unităţile din stratul h devine: </w:t>
            </w:r>
            <w:r w:rsidRPr="003670FA">
              <w:rPr>
                <w:rFonts w:ascii="Bookman Old Style" w:hAnsi="Bookman Old Style" w:cs="Arial"/>
                <w:position w:val="-14"/>
                <w:sz w:val="22"/>
                <w:szCs w:val="22"/>
                <w:lang w:val="ro-RO"/>
              </w:rPr>
              <w:object w:dxaOrig="1500" w:dyaOrig="400" w14:anchorId="32945D9D">
                <v:shape id="_x0000_i1033" type="#_x0000_t75" style="width:75pt;height:19.5pt" o:ole="" fillcolor="window">
                  <v:imagedata r:id="rId27" o:title=""/>
                </v:shape>
                <o:OLEObject Type="Embed" ProgID="Equation.3" ShapeID="_x0000_i1033" DrawAspect="Content" ObjectID="_1582627582" r:id="rId28"/>
              </w:object>
            </w:r>
          </w:p>
        </w:tc>
      </w:tr>
      <w:tr w:rsidR="00832C9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A650F0" w:rsidRDefault="00875E8D" w:rsidP="00367145">
            <w:pPr>
              <w:jc w:val="both"/>
              <w:rPr>
                <w:rFonts w:ascii="Bookman Old Style" w:hAnsi="Bookman Old Style"/>
                <w:b/>
                <w:bCs/>
                <w:sz w:val="20"/>
                <w:szCs w:val="20"/>
                <w:lang w:val="ro-RO"/>
              </w:rPr>
            </w:pPr>
            <w:bookmarkStart w:id="32" w:name="sampling_err_ind"/>
            <w:bookmarkEnd w:id="32"/>
            <w:r w:rsidRPr="00A650F0">
              <w:rPr>
                <w:b/>
                <w:bCs/>
                <w:sz w:val="22"/>
                <w:szCs w:val="22"/>
                <w:lang w:val="ro-RO"/>
              </w:rPr>
              <w:lastRenderedPageBreak/>
              <w:t>6.2.1. Erori de eşantionare - indicatori</w:t>
            </w:r>
          </w:p>
        </w:tc>
      </w:tr>
      <w:tr w:rsidR="00832C9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75E8D" w:rsidRPr="00A650F0" w:rsidRDefault="00875E8D" w:rsidP="00875E8D">
            <w:pPr>
              <w:spacing w:before="30" w:after="30"/>
              <w:jc w:val="both"/>
              <w:rPr>
                <w:sz w:val="22"/>
                <w:szCs w:val="22"/>
                <w:highlight w:val="cyan"/>
                <w:lang w:val="ro-RO"/>
              </w:rPr>
            </w:pPr>
            <w:r w:rsidRPr="00A650F0">
              <w:rPr>
                <w:sz w:val="22"/>
                <w:szCs w:val="22"/>
                <w:lang w:val="ro-RO"/>
              </w:rPr>
              <w:t xml:space="preserve">Coeficienţii de variaţie solicitaţi prin Regulamentul Comisiei nr. 1153/2014 sunt prezentaţi în </w:t>
            </w:r>
            <w:r w:rsidRPr="00A650F0">
              <w:rPr>
                <w:rStyle w:val="Emphasis"/>
                <w:b/>
                <w:bCs/>
                <w:sz w:val="22"/>
                <w:szCs w:val="22"/>
                <w:lang w:val="ro-RO"/>
              </w:rPr>
              <w:t xml:space="preserve">tabelul 6.2.1 </w:t>
            </w:r>
            <w:r w:rsidRPr="00A650F0">
              <w:rPr>
                <w:lang w:val="ro-RO"/>
              </w:rPr>
              <w:t xml:space="preserve">din </w:t>
            </w:r>
            <w:r w:rsidRPr="00A650F0">
              <w:rPr>
                <w:sz w:val="22"/>
                <w:szCs w:val="22"/>
                <w:lang w:val="ro-RO"/>
              </w:rPr>
              <w:t xml:space="preserve">anexă 'RO - tabelele ESQRS FORPRO 2015 (excel)'. </w:t>
            </w:r>
          </w:p>
          <w:p w:rsidR="00832C90" w:rsidRPr="00A650F0" w:rsidRDefault="00875E8D" w:rsidP="00875E8D">
            <w:pPr>
              <w:pStyle w:val="Style16"/>
              <w:widowControl/>
              <w:spacing w:before="60" w:line="240" w:lineRule="auto"/>
              <w:rPr>
                <w:rFonts w:ascii="Times New Roman" w:hAnsi="Times New Roman"/>
                <w:sz w:val="20"/>
                <w:szCs w:val="20"/>
                <w:lang w:val="ro-RO"/>
              </w:rPr>
            </w:pPr>
            <w:r w:rsidRPr="00A650F0">
              <w:rPr>
                <w:rFonts w:ascii="Times New Roman" w:hAnsi="Times New Roman"/>
                <w:sz w:val="22"/>
                <w:szCs w:val="22"/>
                <w:lang w:val="ro-RO"/>
              </w:rPr>
              <w:t>Calcularea coeficienţilor de variaţie s-a realizat utilizând programul CLAN, un macro SAS furnizat de Biroul Central de Statistică din Suedia. Cu excepţia informaţiilor necesare actualizării bazei de sondaj, alte informaţii din registru nu au fost folosite în obţinerea estimaţiilor.</w:t>
            </w:r>
          </w:p>
        </w:tc>
      </w:tr>
      <w:tr w:rsidR="00832C9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A650F0" w:rsidRDefault="00B34C1E" w:rsidP="00367145">
            <w:pPr>
              <w:jc w:val="both"/>
              <w:rPr>
                <w:rFonts w:ascii="Bookman Old Style" w:hAnsi="Bookman Old Style"/>
                <w:b/>
                <w:bCs/>
                <w:sz w:val="20"/>
                <w:szCs w:val="20"/>
                <w:lang w:val="ro-RO"/>
              </w:rPr>
            </w:pPr>
            <w:bookmarkStart w:id="33" w:name="nonsampling_err"/>
            <w:bookmarkEnd w:id="33"/>
            <w:r w:rsidRPr="00A650F0">
              <w:rPr>
                <w:b/>
                <w:bCs/>
                <w:sz w:val="22"/>
                <w:szCs w:val="22"/>
                <w:lang w:val="ro-RO"/>
              </w:rPr>
              <w:t>6.3. Erori de non-eşantionare</w:t>
            </w:r>
          </w:p>
        </w:tc>
      </w:tr>
      <w:tr w:rsidR="00832C90" w:rsidRPr="0038436D" w:rsidTr="00102B5C">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A650F0" w:rsidRDefault="00B34C1E" w:rsidP="00C96476">
            <w:pPr>
              <w:spacing w:before="60"/>
              <w:jc w:val="both"/>
              <w:rPr>
                <w:rStyle w:val="hidden"/>
                <w:rFonts w:ascii="Bookman Old Style" w:hAnsi="Bookman Old Style"/>
                <w:sz w:val="20"/>
                <w:szCs w:val="20"/>
                <w:lang w:val="ro-RO"/>
              </w:rPr>
            </w:pPr>
            <w:r w:rsidRPr="00A650F0">
              <w:rPr>
                <w:sz w:val="22"/>
                <w:szCs w:val="22"/>
                <w:lang w:val="ro-RO"/>
              </w:rPr>
              <w:t>Descrierea detaliată se regăseşte la punctele următoare.</w:t>
            </w:r>
          </w:p>
        </w:tc>
      </w:tr>
      <w:tr w:rsidR="00832C9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A650F0" w:rsidRDefault="00B34C1E" w:rsidP="00367145">
            <w:pPr>
              <w:jc w:val="both"/>
              <w:rPr>
                <w:rFonts w:ascii="Bookman Old Style" w:hAnsi="Bookman Old Style"/>
                <w:b/>
                <w:bCs/>
                <w:sz w:val="20"/>
                <w:szCs w:val="20"/>
                <w:lang w:val="ro-RO"/>
              </w:rPr>
            </w:pPr>
            <w:bookmarkStart w:id="34" w:name="coveragre_err"/>
            <w:bookmarkEnd w:id="34"/>
            <w:r w:rsidRPr="00A650F0">
              <w:rPr>
                <w:b/>
                <w:bCs/>
                <w:sz w:val="22"/>
                <w:szCs w:val="22"/>
                <w:lang w:val="ro-RO"/>
              </w:rPr>
              <w:t>6.3.1. Erori de acoperire</w:t>
            </w:r>
          </w:p>
        </w:tc>
      </w:tr>
      <w:tr w:rsidR="00832C9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34C1E" w:rsidRPr="00A650F0" w:rsidRDefault="00B34C1E" w:rsidP="00B34C1E">
            <w:pPr>
              <w:spacing w:before="30" w:after="30"/>
              <w:jc w:val="both"/>
              <w:rPr>
                <w:sz w:val="22"/>
                <w:szCs w:val="22"/>
                <w:highlight w:val="yellow"/>
                <w:lang w:val="ro-RO"/>
              </w:rPr>
            </w:pPr>
            <w:r w:rsidRPr="00A650F0">
              <w:rPr>
                <w:sz w:val="22"/>
                <w:szCs w:val="22"/>
                <w:lang w:val="ro-RO"/>
              </w:rPr>
              <w:t>Baza de sondaj folosită pentru extragerea eşantionului anchetei a fost construită pe baza Registrului întreprinderilor din România, conţinând informaţii statistice referitoare la perioada de referinţă, şi anume anul calendaristic 2015.</w:t>
            </w:r>
          </w:p>
          <w:p w:rsidR="00B34C1E" w:rsidRPr="00A650F0" w:rsidRDefault="00B34C1E" w:rsidP="00B34C1E">
            <w:pPr>
              <w:spacing w:before="30" w:after="30"/>
              <w:jc w:val="both"/>
              <w:rPr>
                <w:sz w:val="22"/>
                <w:szCs w:val="22"/>
                <w:lang w:val="ro-RO"/>
              </w:rPr>
            </w:pPr>
            <w:r w:rsidRPr="00A650F0">
              <w:rPr>
                <w:sz w:val="22"/>
                <w:szCs w:val="22"/>
                <w:lang w:val="ro-RO"/>
              </w:rPr>
              <w:t>Registrul Întreprinderilor a fost proiectat şi implementat având ca sursă principală de date surse administrative şi surse statistice. Dintre sursele administrative de date, principala sursă o constituie Registrul Fiscal. Registrul Comerţului este folosit ca o sursă consultativă de date pentru a îmbunătăţi calitatea datelor din Registrul Întreprinderilor. Alte surse de date folosite pentru construirea Registrului Întreprinderilor din România sunt: bilanțurile contabile, taxa pe valoarea adăugată (TVA), ancheta REGIS realizată exclusiv pentru întreprinderile noi şi care oferă informaţii cu privire la activitatea principală desfăşurată şi mărimea lor. Informaţiile obţinute din diferite surse de date (anchete desfăşurate de INS în România) sunt de asemenea utilizate în completarea Registrului.</w:t>
            </w:r>
          </w:p>
          <w:p w:rsidR="00B34C1E" w:rsidRPr="00A650F0" w:rsidRDefault="00B34C1E" w:rsidP="00B34C1E">
            <w:pPr>
              <w:spacing w:before="30" w:after="30"/>
              <w:jc w:val="both"/>
              <w:rPr>
                <w:sz w:val="22"/>
                <w:szCs w:val="22"/>
                <w:lang w:val="ro-RO"/>
              </w:rPr>
            </w:pPr>
            <w:r w:rsidRPr="00A650F0">
              <w:rPr>
                <w:sz w:val="22"/>
                <w:szCs w:val="22"/>
                <w:lang w:val="ro-RO"/>
              </w:rPr>
              <w:t>În consecință, principalele probleme de supra/sub acoperire sunt legate de calitatea informaţiilor cu privire la clasa de mărime a întreprinderilor, după numărul de salariaţi al acestora.</w:t>
            </w:r>
          </w:p>
          <w:p w:rsidR="00B34C1E" w:rsidRPr="00A650F0" w:rsidRDefault="00B34C1E" w:rsidP="00B34C1E">
            <w:pPr>
              <w:spacing w:before="30" w:after="30"/>
              <w:jc w:val="both"/>
              <w:rPr>
                <w:sz w:val="22"/>
                <w:szCs w:val="22"/>
                <w:highlight w:val="yellow"/>
                <w:lang w:val="ro-RO"/>
              </w:rPr>
            </w:pPr>
            <w:r w:rsidRPr="00A650F0">
              <w:rPr>
                <w:sz w:val="22"/>
                <w:szCs w:val="22"/>
                <w:lang w:val="ro-RO"/>
              </w:rPr>
              <w:t>În procesul de ajustare şi extindere a datelor, unităţile neidentificate au fost asimilate cu unităţi care nu au răspuns. Procedurile de extindere a datelor s-au aplicat la nivel de întreprindere pentru a compensa non-răspunsul total, împreună cu procedurile de calibrare a rezultatelor la nivel de diviziune CAEN Rev.2 și cu informaţiile referitoare la întreprinderile active din România în anul 2015. Variabila auxiliară folosită pentru calibrare a fost numărul de salariaţi (din Ancheta costului forţei de muncă). Calibrarea datelor s-a realizat cu ajutorul rutinei CLAN, pusă la dispoziţie de Oficiul de Statistică al Suediei.</w:t>
            </w:r>
          </w:p>
          <w:p w:rsidR="00832C90" w:rsidRPr="00A650F0" w:rsidRDefault="00B34C1E" w:rsidP="00B34C1E">
            <w:pPr>
              <w:spacing w:before="60"/>
              <w:jc w:val="both"/>
              <w:rPr>
                <w:rFonts w:ascii="Bookman Old Style" w:hAnsi="Bookman Old Style"/>
                <w:sz w:val="20"/>
                <w:szCs w:val="20"/>
                <w:lang w:val="ro-RO"/>
              </w:rPr>
            </w:pPr>
            <w:r w:rsidRPr="00A650F0">
              <w:rPr>
                <w:sz w:val="22"/>
                <w:szCs w:val="22"/>
                <w:lang w:val="ro-RO"/>
              </w:rPr>
              <w:t xml:space="preserve">În </w:t>
            </w:r>
            <w:r w:rsidRPr="00A650F0">
              <w:rPr>
                <w:rStyle w:val="Emphasis"/>
                <w:b/>
                <w:bCs/>
                <w:lang w:val="ro-RO"/>
              </w:rPr>
              <w:t>t</w:t>
            </w:r>
            <w:r w:rsidRPr="00A650F0">
              <w:rPr>
                <w:rStyle w:val="Emphasis"/>
                <w:b/>
                <w:bCs/>
                <w:sz w:val="22"/>
                <w:szCs w:val="22"/>
                <w:lang w:val="ro-RO"/>
              </w:rPr>
              <w:t>abelul</w:t>
            </w:r>
            <w:r w:rsidRPr="00A650F0">
              <w:rPr>
                <w:rStyle w:val="Emphasis"/>
                <w:b/>
                <w:bCs/>
                <w:lang w:val="ro-RO"/>
              </w:rPr>
              <w:t xml:space="preserve"> </w:t>
            </w:r>
            <w:r w:rsidRPr="00A650F0">
              <w:rPr>
                <w:rStyle w:val="Emphasis"/>
                <w:b/>
                <w:bCs/>
                <w:sz w:val="22"/>
                <w:szCs w:val="22"/>
                <w:lang w:val="ro-RO"/>
              </w:rPr>
              <w:t>6.3.1</w:t>
            </w:r>
            <w:r w:rsidRPr="00A650F0">
              <w:rPr>
                <w:sz w:val="22"/>
                <w:szCs w:val="22"/>
                <w:lang w:val="ro-RO"/>
              </w:rPr>
              <w:t xml:space="preserve"> din anexă 'RO - tabelele ESQRS FORPRO 2015 (excel)' sunt prezentate erorile de acoperire.</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885" w:type="dxa"/>
              <w:bottom w:w="20" w:type="dxa"/>
              <w:right w:w="129" w:type="dxa"/>
            </w:tcMar>
          </w:tcPr>
          <w:p w:rsidR="00B34C1E" w:rsidRPr="00A650F0" w:rsidRDefault="00B34C1E" w:rsidP="00B34C1E">
            <w:pPr>
              <w:rPr>
                <w:b/>
                <w:bCs/>
                <w:sz w:val="22"/>
                <w:szCs w:val="22"/>
                <w:lang w:val="ro-RO"/>
              </w:rPr>
            </w:pPr>
            <w:bookmarkStart w:id="35" w:name="overcoverage_rate"/>
            <w:bookmarkEnd w:id="35"/>
            <w:r w:rsidRPr="00A650F0">
              <w:rPr>
                <w:b/>
                <w:bCs/>
                <w:sz w:val="22"/>
                <w:szCs w:val="22"/>
                <w:lang w:val="ro-RO"/>
              </w:rPr>
              <w:t>6.3.1.1. Erori de de supra-acoperire</w:t>
            </w:r>
          </w:p>
        </w:tc>
      </w:tr>
      <w:tr w:rsidR="00B34C1E"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34C1E" w:rsidRPr="00A650F0" w:rsidRDefault="00B34C1E" w:rsidP="00B34C1E">
            <w:pPr>
              <w:spacing w:before="30" w:after="30"/>
              <w:jc w:val="both"/>
              <w:rPr>
                <w:sz w:val="22"/>
                <w:szCs w:val="22"/>
                <w:lang w:val="ro-RO"/>
              </w:rPr>
            </w:pPr>
            <w:r w:rsidRPr="00A650F0">
              <w:rPr>
                <w:sz w:val="22"/>
                <w:szCs w:val="22"/>
                <w:lang w:val="ro-RO"/>
              </w:rPr>
              <w:t>Un procent de 1,3% din întreprinderile anchetate au raportat un număr de angajați mai mic decât pragul de includere în populaţia de referinţă (sub 10 angajați), dar gradul de stabilitate pe activităţi economice este ridicat.</w:t>
            </w:r>
          </w:p>
          <w:p w:rsidR="00B34C1E" w:rsidRPr="00A650F0" w:rsidRDefault="00B34C1E" w:rsidP="00B34C1E">
            <w:pPr>
              <w:spacing w:before="30" w:after="30"/>
              <w:jc w:val="both"/>
              <w:rPr>
                <w:sz w:val="22"/>
                <w:szCs w:val="22"/>
                <w:lang w:val="ro-RO"/>
              </w:rPr>
            </w:pPr>
            <w:r w:rsidRPr="00A650F0">
              <w:rPr>
                <w:sz w:val="22"/>
                <w:szCs w:val="22"/>
                <w:lang w:val="ro-RO"/>
              </w:rPr>
              <w:t xml:space="preserve">În eșantion au fost 189 de întreprinderi neidentificate. Aceste unităţi nu sunt incluse în mulţimea întreprinderilor respondente. În cadrul procedurii de ajustare, întreprinderile neidentificate au fost asimilate unităților cu non-răspuns. </w:t>
            </w:r>
          </w:p>
          <w:p w:rsidR="00B34C1E" w:rsidRPr="00A650F0" w:rsidRDefault="00B34C1E" w:rsidP="00B34C1E">
            <w:pPr>
              <w:spacing w:before="30" w:after="30"/>
              <w:jc w:val="both"/>
              <w:rPr>
                <w:sz w:val="22"/>
                <w:szCs w:val="22"/>
                <w:lang w:val="ro-RO"/>
              </w:rPr>
            </w:pPr>
            <w:r w:rsidRPr="00A650F0">
              <w:rPr>
                <w:sz w:val="22"/>
                <w:szCs w:val="22"/>
                <w:lang w:val="ro-RO"/>
              </w:rPr>
              <w:t>Dimensiunea sub-acoperirii (unităţile care fac parte din sfera de cuprindere a anchetei, dar care nu au fost selectate) nu este cunoscută, dar având în vedere eforturile făcute pentru a menţine baza de sondaj actualizată, este puţin probabil să fie semnificativă.</w:t>
            </w:r>
          </w:p>
          <w:p w:rsidR="00B34C1E" w:rsidRPr="00A650F0" w:rsidRDefault="00B34C1E" w:rsidP="00B34C1E">
            <w:pPr>
              <w:spacing w:before="30" w:after="30"/>
              <w:jc w:val="both"/>
              <w:rPr>
                <w:sz w:val="22"/>
                <w:szCs w:val="22"/>
                <w:lang w:val="ro-RO"/>
              </w:rPr>
            </w:pPr>
            <w:r w:rsidRPr="00A650F0">
              <w:rPr>
                <w:sz w:val="22"/>
                <w:szCs w:val="22"/>
                <w:lang w:val="ro-RO"/>
              </w:rPr>
              <w:t>Pentru realizarea ajustării supra-acoperirii şi sub-acoperirii prin procedura de ponderare s-a folosit o ipoteză de model. Aceste ipoteze, făcute la nivelul fiecărui strat, au fost următoarele:</w:t>
            </w:r>
          </w:p>
          <w:p w:rsidR="00B34C1E" w:rsidRPr="00A650F0" w:rsidRDefault="00B34C1E" w:rsidP="00902A9C">
            <w:pPr>
              <w:numPr>
                <w:ilvl w:val="0"/>
                <w:numId w:val="10"/>
              </w:numPr>
              <w:ind w:left="950"/>
              <w:jc w:val="both"/>
              <w:rPr>
                <w:sz w:val="22"/>
                <w:szCs w:val="22"/>
                <w:lang w:val="ro-RO"/>
              </w:rPr>
            </w:pPr>
            <w:r w:rsidRPr="00A650F0">
              <w:rPr>
                <w:sz w:val="22"/>
                <w:szCs w:val="22"/>
                <w:lang w:val="ro-RO"/>
              </w:rPr>
              <w:t xml:space="preserve">rata unităţilor în afara sferei de cuprindere a anchetei este aceeaşi în mulţimea respondenţilor cu cea </w:t>
            </w:r>
            <w:r w:rsidRPr="00A650F0">
              <w:rPr>
                <w:sz w:val="22"/>
                <w:szCs w:val="22"/>
                <w:lang w:val="ro-RO"/>
              </w:rPr>
              <w:lastRenderedPageBreak/>
              <w:t>din mulţimea non-respondenţilor;</w:t>
            </w:r>
          </w:p>
          <w:p w:rsidR="00B34C1E" w:rsidRPr="00A650F0" w:rsidRDefault="00B34C1E" w:rsidP="00902A9C">
            <w:pPr>
              <w:numPr>
                <w:ilvl w:val="0"/>
                <w:numId w:val="10"/>
              </w:numPr>
              <w:ind w:left="950"/>
              <w:jc w:val="both"/>
              <w:rPr>
                <w:sz w:val="22"/>
                <w:szCs w:val="22"/>
                <w:lang w:val="ro-RO"/>
              </w:rPr>
            </w:pPr>
            <w:r w:rsidRPr="00A650F0">
              <w:rPr>
                <w:sz w:val="22"/>
                <w:szCs w:val="22"/>
                <w:lang w:val="ro-RO"/>
              </w:rPr>
              <w:t>numărul întreprinderilor în afara sferei de cuprindere a anchetei incluse eronat în baza de sondaj este acelaşi cu numărul unităţilor care fac parte din sfera de cuprindere a anchetei, dar care nu au fost selectate;</w:t>
            </w:r>
          </w:p>
          <w:p w:rsidR="00B34C1E" w:rsidRPr="00A650F0" w:rsidRDefault="00B34C1E" w:rsidP="00902A9C">
            <w:pPr>
              <w:numPr>
                <w:ilvl w:val="0"/>
                <w:numId w:val="10"/>
              </w:numPr>
              <w:ind w:left="950"/>
              <w:jc w:val="both"/>
              <w:rPr>
                <w:sz w:val="22"/>
                <w:szCs w:val="22"/>
                <w:lang w:val="ro-RO"/>
              </w:rPr>
            </w:pPr>
            <w:r w:rsidRPr="00A650F0">
              <w:rPr>
                <w:sz w:val="22"/>
                <w:szCs w:val="22"/>
                <w:lang w:val="ro-RO"/>
              </w:rPr>
              <w:t>valoarea mediană a oricărei variabile de interes este aceeaşi în partea accesibilă a populaţiei de referinţă cu cea din mulţimea întreprinderilor aparţinând sferei de cuprindere a anchetei, dar neincluse în sondaj.</w:t>
            </w:r>
          </w:p>
          <w:p w:rsidR="00B34C1E" w:rsidRPr="00A650F0" w:rsidRDefault="00B34C1E" w:rsidP="00B34C1E">
            <w:pPr>
              <w:spacing w:before="30" w:after="30"/>
              <w:jc w:val="both"/>
              <w:rPr>
                <w:sz w:val="22"/>
                <w:szCs w:val="22"/>
                <w:lang w:val="ro-RO"/>
              </w:rPr>
            </w:pPr>
            <w:r w:rsidRPr="00A650F0">
              <w:rPr>
                <w:sz w:val="22"/>
                <w:szCs w:val="22"/>
                <w:lang w:val="ro-RO"/>
              </w:rPr>
              <w:t xml:space="preserve">Rata de supra-acoperire a fost de </w:t>
            </w:r>
            <w:r w:rsidRPr="00A650F0">
              <w:rPr>
                <w:rStyle w:val="Emphasis"/>
                <w:b/>
                <w:bCs/>
                <w:sz w:val="22"/>
                <w:szCs w:val="22"/>
                <w:lang w:val="ro-RO"/>
              </w:rPr>
              <w:t>3,5%</w:t>
            </w:r>
            <w:r w:rsidRPr="00A650F0">
              <w:rPr>
                <w:sz w:val="22"/>
                <w:szCs w:val="22"/>
                <w:lang w:val="ro-RO"/>
              </w:rPr>
              <w:t>.</w:t>
            </w:r>
          </w:p>
          <w:p w:rsidR="00B34C1E" w:rsidRPr="00A650F0" w:rsidRDefault="00B34C1E" w:rsidP="00B34C1E">
            <w:pPr>
              <w:spacing w:before="60"/>
              <w:jc w:val="both"/>
              <w:rPr>
                <w:rFonts w:ascii="Bookman Old Style" w:hAnsi="Bookman Old Style"/>
                <w:b/>
                <w:bCs/>
                <w:sz w:val="20"/>
                <w:szCs w:val="20"/>
                <w:lang w:val="ro-RO"/>
              </w:rPr>
            </w:pPr>
            <w:r w:rsidRPr="00A650F0">
              <w:rPr>
                <w:sz w:val="22"/>
                <w:szCs w:val="22"/>
                <w:lang w:val="ro-RO"/>
              </w:rPr>
              <w:t xml:space="preserve">În </w:t>
            </w:r>
            <w:r w:rsidRPr="00A650F0">
              <w:rPr>
                <w:rStyle w:val="Emphasis"/>
                <w:b/>
                <w:bCs/>
                <w:lang w:val="ro-RO"/>
              </w:rPr>
              <w:t>t</w:t>
            </w:r>
            <w:r w:rsidRPr="00A650F0">
              <w:rPr>
                <w:rStyle w:val="Emphasis"/>
                <w:b/>
                <w:bCs/>
                <w:sz w:val="22"/>
                <w:szCs w:val="22"/>
                <w:lang w:val="ro-RO"/>
              </w:rPr>
              <w:t>abelul</w:t>
            </w:r>
            <w:r w:rsidRPr="00A650F0">
              <w:rPr>
                <w:rStyle w:val="Emphasis"/>
                <w:b/>
                <w:bCs/>
                <w:lang w:val="ro-RO"/>
              </w:rPr>
              <w:t xml:space="preserve"> </w:t>
            </w:r>
            <w:r w:rsidRPr="00A650F0">
              <w:rPr>
                <w:rStyle w:val="Emphasis"/>
                <w:b/>
                <w:bCs/>
                <w:sz w:val="22"/>
                <w:szCs w:val="22"/>
                <w:lang w:val="ro-RO"/>
              </w:rPr>
              <w:t>6.3.1.1</w:t>
            </w:r>
            <w:r w:rsidRPr="00A650F0">
              <w:rPr>
                <w:sz w:val="22"/>
                <w:szCs w:val="22"/>
                <w:lang w:val="ro-RO"/>
              </w:rPr>
              <w:t xml:space="preserve"> din anexă 'RO - tabelele ESQRS FORPRO 2015 (excel)' sunt prezentate detaliile supra-acoperirii și sub-acoperirii.</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885" w:type="dxa"/>
              <w:bottom w:w="20" w:type="dxa"/>
              <w:right w:w="129" w:type="dxa"/>
            </w:tcMar>
          </w:tcPr>
          <w:p w:rsidR="00B34C1E" w:rsidRPr="00A650F0" w:rsidRDefault="00B34C1E" w:rsidP="00B34C1E">
            <w:pPr>
              <w:rPr>
                <w:b/>
                <w:bCs/>
                <w:sz w:val="22"/>
                <w:szCs w:val="22"/>
                <w:lang w:val="ro-RO"/>
              </w:rPr>
            </w:pPr>
            <w:bookmarkStart w:id="36" w:name="common_unit_share"/>
            <w:bookmarkEnd w:id="36"/>
            <w:r w:rsidRPr="00A650F0">
              <w:rPr>
                <w:b/>
                <w:bCs/>
                <w:sz w:val="22"/>
                <w:szCs w:val="22"/>
                <w:lang w:val="ro-RO"/>
              </w:rPr>
              <w:lastRenderedPageBreak/>
              <w:t>6.3.1.2. Proporţia unităţilor comune</w:t>
            </w:r>
          </w:p>
        </w:tc>
      </w:tr>
      <w:tr w:rsidR="00B34C1E"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34C1E" w:rsidRPr="00A650F0" w:rsidRDefault="00B34C1E" w:rsidP="00B34C1E">
            <w:pPr>
              <w:spacing w:before="60"/>
              <w:jc w:val="both"/>
              <w:rPr>
                <w:rFonts w:ascii="Bookman Old Style" w:hAnsi="Bookman Old Style"/>
                <w:b/>
                <w:bCs/>
                <w:sz w:val="20"/>
                <w:szCs w:val="20"/>
                <w:lang w:val="ro-RO"/>
              </w:rPr>
            </w:pPr>
            <w:r w:rsidRPr="00A650F0">
              <w:rPr>
                <w:sz w:val="22"/>
                <w:szCs w:val="22"/>
                <w:lang w:val="ro-RO"/>
              </w:rPr>
              <w:t>Nu se aplică.</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B34C1E" w:rsidRPr="00A650F0" w:rsidRDefault="00B34C1E" w:rsidP="00B34C1E">
            <w:pPr>
              <w:jc w:val="both"/>
              <w:rPr>
                <w:rFonts w:ascii="Bookman Old Style" w:hAnsi="Bookman Old Style"/>
                <w:b/>
                <w:bCs/>
                <w:sz w:val="20"/>
                <w:szCs w:val="20"/>
                <w:lang w:val="ro-RO"/>
              </w:rPr>
            </w:pPr>
            <w:bookmarkStart w:id="37" w:name="measurement_err"/>
            <w:bookmarkEnd w:id="37"/>
            <w:r w:rsidRPr="00A650F0">
              <w:rPr>
                <w:b/>
                <w:bCs/>
                <w:sz w:val="22"/>
                <w:szCs w:val="22"/>
                <w:lang w:val="ro-RO"/>
              </w:rPr>
              <w:t>6.3.2. Erori de măsurare</w:t>
            </w:r>
          </w:p>
        </w:tc>
      </w:tr>
      <w:tr w:rsidR="00B34C1E" w:rsidRPr="0038436D" w:rsidTr="002B23DF">
        <w:trPr>
          <w:trHeight w:val="508"/>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34C1E" w:rsidRPr="00A650F0" w:rsidRDefault="00B34C1E" w:rsidP="00B34C1E">
            <w:pPr>
              <w:spacing w:before="30" w:after="30"/>
              <w:jc w:val="both"/>
              <w:rPr>
                <w:sz w:val="22"/>
                <w:szCs w:val="22"/>
                <w:lang w:val="ro-RO"/>
              </w:rPr>
            </w:pPr>
            <w:r w:rsidRPr="00A650F0">
              <w:rPr>
                <w:sz w:val="22"/>
                <w:szCs w:val="22"/>
                <w:lang w:val="ro-RO"/>
              </w:rPr>
              <w:t>Informaţiile de mai jos reprezintă o estimare a ratelor de eroare la nivel central, după ce au fost primite fişierele de date din toată ţara. Nu sunt disponibile statistici la nivel local (primul nivel de verificare). Ratele de eroare au fost calculate ca raport între cazurile apărute şi numărul de unităţi eligibile pentru variabila/relaţia dată.</w:t>
            </w:r>
          </w:p>
          <w:p w:rsidR="00B34C1E" w:rsidRPr="00A650F0" w:rsidRDefault="00B34C1E" w:rsidP="00B34C1E">
            <w:pPr>
              <w:spacing w:before="30" w:after="30"/>
              <w:jc w:val="both"/>
              <w:rPr>
                <w:sz w:val="22"/>
                <w:szCs w:val="22"/>
                <w:lang w:val="ro-RO"/>
              </w:rPr>
            </w:pPr>
            <w:r w:rsidRPr="00A650F0">
              <w:rPr>
                <w:sz w:val="22"/>
                <w:szCs w:val="22"/>
                <w:lang w:val="ro-RO"/>
              </w:rPr>
              <w:t>Cele mai frecvente erori apărute în timpul perioadei de verificare a datelor:</w:t>
            </w:r>
          </w:p>
          <w:p w:rsidR="00B34C1E" w:rsidRPr="00A650F0" w:rsidRDefault="00B34C1E" w:rsidP="00902A9C">
            <w:pPr>
              <w:numPr>
                <w:ilvl w:val="0"/>
                <w:numId w:val="11"/>
              </w:numPr>
              <w:jc w:val="both"/>
              <w:rPr>
                <w:sz w:val="22"/>
                <w:szCs w:val="22"/>
                <w:lang w:val="ro-RO"/>
              </w:rPr>
            </w:pPr>
            <w:r w:rsidRPr="00A650F0">
              <w:rPr>
                <w:sz w:val="22"/>
                <w:szCs w:val="22"/>
                <w:lang w:val="ro-RO"/>
              </w:rPr>
              <w:t>10,11% pentru eroarea codificată S10: se asigură că, în cazul în care întreprinderea a furnizat FPC (cursuri și/sau alte forme) atunci modulul E, privind motivele pentru nefurnizarea de cursuri de FPC sau alte forme de FPC în cursul anului 2015, trebuie să nu fie completat (sărit);</w:t>
            </w:r>
          </w:p>
          <w:p w:rsidR="00B34C1E" w:rsidRPr="00A650F0" w:rsidRDefault="00B34C1E" w:rsidP="00902A9C">
            <w:pPr>
              <w:numPr>
                <w:ilvl w:val="0"/>
                <w:numId w:val="11"/>
              </w:numPr>
              <w:jc w:val="both"/>
              <w:rPr>
                <w:sz w:val="22"/>
                <w:szCs w:val="22"/>
                <w:lang w:val="ro-RO"/>
              </w:rPr>
            </w:pPr>
            <w:r w:rsidRPr="00A650F0">
              <w:rPr>
                <w:sz w:val="22"/>
                <w:szCs w:val="22"/>
                <w:lang w:val="ro-RO"/>
              </w:rPr>
              <w:t>5,18% pentru eroarea codificată C139: se verifică dacă orele petrecute la cursurile de FPC se încadrează între valorile specifice la nivel naţional (minim şi maxim);</w:t>
            </w:r>
          </w:p>
          <w:p w:rsidR="00B34C1E" w:rsidRPr="00A650F0" w:rsidRDefault="00B34C1E" w:rsidP="00902A9C">
            <w:pPr>
              <w:numPr>
                <w:ilvl w:val="0"/>
                <w:numId w:val="11"/>
              </w:numPr>
              <w:jc w:val="both"/>
              <w:rPr>
                <w:sz w:val="22"/>
                <w:szCs w:val="22"/>
                <w:lang w:val="ro-RO"/>
              </w:rPr>
            </w:pPr>
            <w:r w:rsidRPr="00A650F0">
              <w:rPr>
                <w:sz w:val="22"/>
                <w:szCs w:val="22"/>
                <w:lang w:val="ro-RO"/>
              </w:rPr>
              <w:t>4,01% pentru eroarea codificată S9: se asigură că întreprinderile care nu au oferit cursuri de FPC, dar au furnizat alte forme de FPC au răspuns la modulul D privind politica de formare profesională a întreprinderii;</w:t>
            </w:r>
          </w:p>
          <w:p w:rsidR="00B34C1E" w:rsidRPr="00A650F0" w:rsidRDefault="00B34C1E" w:rsidP="00902A9C">
            <w:pPr>
              <w:numPr>
                <w:ilvl w:val="0"/>
                <w:numId w:val="11"/>
              </w:numPr>
              <w:jc w:val="both"/>
              <w:rPr>
                <w:sz w:val="22"/>
                <w:szCs w:val="22"/>
                <w:lang w:val="ro-RO"/>
              </w:rPr>
            </w:pPr>
            <w:r w:rsidRPr="00A650F0">
              <w:rPr>
                <w:sz w:val="22"/>
                <w:szCs w:val="22"/>
                <w:lang w:val="ro-RO"/>
              </w:rPr>
              <w:t>1,99% pentru eroarea codificată S5: se verifică raportul dintre numărul de participanţi tineri la cursurile de FPC şi numărul de angajaţi tineri la sfârşitul anului 2015;</w:t>
            </w:r>
          </w:p>
          <w:p w:rsidR="00B34C1E" w:rsidRPr="00A650F0" w:rsidRDefault="00B34C1E" w:rsidP="00902A9C">
            <w:pPr>
              <w:numPr>
                <w:ilvl w:val="0"/>
                <w:numId w:val="11"/>
              </w:numPr>
              <w:jc w:val="both"/>
              <w:rPr>
                <w:sz w:val="22"/>
                <w:szCs w:val="22"/>
                <w:lang w:val="ro-RO"/>
              </w:rPr>
            </w:pPr>
            <w:r w:rsidRPr="00A650F0">
              <w:rPr>
                <w:sz w:val="22"/>
                <w:szCs w:val="22"/>
                <w:lang w:val="ro-RO"/>
              </w:rPr>
              <w:t>2,78% pentru eroarea codificată A10: se verifică dacă costul mediu lunar al forței de muncă s-a încadrat între valorile specifice la nivel naţional (minim şi maxim);</w:t>
            </w:r>
          </w:p>
          <w:p w:rsidR="00B34C1E" w:rsidRPr="00A650F0" w:rsidRDefault="00B34C1E" w:rsidP="00902A9C">
            <w:pPr>
              <w:numPr>
                <w:ilvl w:val="0"/>
                <w:numId w:val="11"/>
              </w:numPr>
              <w:jc w:val="both"/>
              <w:rPr>
                <w:sz w:val="22"/>
                <w:szCs w:val="22"/>
                <w:lang w:val="ro-RO"/>
              </w:rPr>
            </w:pPr>
            <w:r w:rsidRPr="00A650F0">
              <w:rPr>
                <w:sz w:val="22"/>
                <w:szCs w:val="22"/>
                <w:lang w:val="ro-RO"/>
              </w:rPr>
              <w:t>1,18% pentru eroarea codificată A8: se verifică dacă numărul orelor efectiv lucrate s-a încadrat între valorile specifice la nivel naţional (minim şi maxim);</w:t>
            </w:r>
          </w:p>
          <w:p w:rsidR="00B34C1E" w:rsidRPr="00A650F0" w:rsidRDefault="00B34C1E" w:rsidP="00902A9C">
            <w:pPr>
              <w:numPr>
                <w:ilvl w:val="0"/>
                <w:numId w:val="11"/>
              </w:numPr>
              <w:jc w:val="both"/>
              <w:rPr>
                <w:sz w:val="22"/>
                <w:szCs w:val="22"/>
                <w:lang w:val="ro-RO"/>
              </w:rPr>
            </w:pPr>
            <w:r w:rsidRPr="00A650F0">
              <w:rPr>
                <w:sz w:val="22"/>
                <w:szCs w:val="22"/>
                <w:lang w:val="ro-RO"/>
              </w:rPr>
              <w:t>0,50% pentru eroarea codificată: se verifică relația între D6 –un plan sau program în formă scrisă și D7 – un buget anual alocat instruirii, care a inclus furnizarea de FPC.</w:t>
            </w:r>
          </w:p>
          <w:p w:rsidR="00B34C1E" w:rsidRPr="00A650F0" w:rsidRDefault="00B34C1E" w:rsidP="00B34C1E">
            <w:pPr>
              <w:spacing w:before="30" w:after="30"/>
              <w:jc w:val="both"/>
              <w:rPr>
                <w:sz w:val="22"/>
                <w:szCs w:val="22"/>
                <w:lang w:val="ro-RO"/>
              </w:rPr>
            </w:pPr>
            <w:r w:rsidRPr="00A650F0">
              <w:rPr>
                <w:sz w:val="22"/>
                <w:szCs w:val="22"/>
                <w:lang w:val="ro-RO"/>
              </w:rPr>
              <w:t>Fișierele cu micro-date (înainte și după imputare) și tabelele de control au fost trimise prin eDAMIS către Eurostat, în conformitate cu formatul standard și cu verificările logice solicitate. Unde a fost cazul s-au explicat inconsecvențele apărute referitoare la atenționările și valorile lipsă (trimise prin e-mail către Eurostat).</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B34C1E" w:rsidRPr="00A650F0" w:rsidRDefault="00B34C1E" w:rsidP="00B34C1E">
            <w:pPr>
              <w:jc w:val="both"/>
              <w:rPr>
                <w:rFonts w:ascii="Bookman Old Style" w:hAnsi="Bookman Old Style"/>
                <w:b/>
                <w:bCs/>
                <w:sz w:val="20"/>
                <w:szCs w:val="20"/>
                <w:lang w:val="ro-RO"/>
              </w:rPr>
            </w:pPr>
            <w:bookmarkStart w:id="38" w:name="nonresponse_err"/>
            <w:bookmarkEnd w:id="38"/>
            <w:r w:rsidRPr="00A650F0">
              <w:rPr>
                <w:b/>
                <w:bCs/>
                <w:sz w:val="22"/>
                <w:szCs w:val="22"/>
                <w:lang w:val="ro-RO"/>
              </w:rPr>
              <w:t>6.3.3. Erori de non-răspuns</w:t>
            </w:r>
          </w:p>
        </w:tc>
      </w:tr>
      <w:tr w:rsidR="00B34C1E"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34C1E" w:rsidRPr="00A650F0" w:rsidRDefault="00B34C1E" w:rsidP="00B34C1E">
            <w:pPr>
              <w:spacing w:before="30" w:after="30"/>
              <w:jc w:val="both"/>
              <w:rPr>
                <w:sz w:val="22"/>
                <w:szCs w:val="22"/>
                <w:lang w:val="ro-RO"/>
              </w:rPr>
            </w:pPr>
            <w:r w:rsidRPr="00A650F0">
              <w:rPr>
                <w:sz w:val="22"/>
                <w:szCs w:val="22"/>
                <w:lang w:val="ro-RO"/>
              </w:rPr>
              <w:t>Tratarea non-răspunsurilor se realizează doar pentru faza de eşantionare şi se referă la tipul de răspuns furnizat de întreprinderi la anchetă.</w:t>
            </w:r>
          </w:p>
          <w:p w:rsidR="00B34C1E" w:rsidRPr="00A650F0" w:rsidRDefault="00B34C1E" w:rsidP="00B34C1E">
            <w:pPr>
              <w:spacing w:before="30" w:after="30"/>
              <w:jc w:val="both"/>
              <w:rPr>
                <w:sz w:val="22"/>
                <w:szCs w:val="22"/>
                <w:lang w:val="ro-RO"/>
              </w:rPr>
            </w:pPr>
            <w:r w:rsidRPr="00A650F0">
              <w:rPr>
                <w:sz w:val="22"/>
                <w:szCs w:val="22"/>
                <w:lang w:val="ro-RO"/>
              </w:rPr>
              <w:t xml:space="preserve">Tipurile de non-răspuns utilizate la colectarea datelor sunt prezentate în </w:t>
            </w:r>
            <w:r w:rsidRPr="00A650F0">
              <w:rPr>
                <w:rStyle w:val="Emphasis"/>
                <w:b/>
                <w:bCs/>
                <w:sz w:val="22"/>
                <w:szCs w:val="22"/>
                <w:lang w:val="ro-RO"/>
              </w:rPr>
              <w:t>tabelul 6.3.3.1.</w:t>
            </w:r>
            <w:r w:rsidRPr="00A650F0">
              <w:rPr>
                <w:sz w:val="22"/>
                <w:szCs w:val="22"/>
                <w:lang w:val="ro-RO"/>
              </w:rPr>
              <w:t xml:space="preserve"> din anexă 'RO - tabelele ESQRS FORPRO 2015 (excel)'.</w:t>
            </w:r>
          </w:p>
          <w:p w:rsidR="00B34C1E" w:rsidRPr="00A650F0" w:rsidRDefault="00B34C1E" w:rsidP="00B34C1E">
            <w:pPr>
              <w:spacing w:before="30" w:after="30"/>
              <w:jc w:val="both"/>
              <w:rPr>
                <w:sz w:val="22"/>
                <w:szCs w:val="22"/>
                <w:lang w:val="ro-RO"/>
              </w:rPr>
            </w:pPr>
            <w:r w:rsidRPr="00A650F0">
              <w:rPr>
                <w:sz w:val="22"/>
                <w:szCs w:val="22"/>
                <w:lang w:val="ro-RO"/>
              </w:rPr>
              <w:t>Întreprinderile care au raportat 9 angajați şi mai puţin s-au considerat a fi de neinteres pentru cercetare</w:t>
            </w:r>
            <w:r w:rsidRPr="00A650F0">
              <w:rPr>
                <w:lang w:val="ro-RO"/>
              </w:rPr>
              <w:t xml:space="preserve"> </w:t>
            </w:r>
            <w:r w:rsidRPr="00A650F0">
              <w:rPr>
                <w:sz w:val="22"/>
                <w:szCs w:val="22"/>
                <w:lang w:val="ro-RO"/>
              </w:rPr>
              <w:t>Pentru aceste unităţi s-a folosit un model de ajustare. Procedura de redresare utilizată în modelul de ajustare a presupus folosirea la nivelul fiecărui strat, a următoarelor ipoteze:</w:t>
            </w:r>
          </w:p>
          <w:p w:rsidR="00B34C1E" w:rsidRPr="00A650F0" w:rsidRDefault="00B34C1E" w:rsidP="00902A9C">
            <w:pPr>
              <w:numPr>
                <w:ilvl w:val="0"/>
                <w:numId w:val="6"/>
              </w:numPr>
              <w:ind w:left="950"/>
              <w:jc w:val="both"/>
              <w:rPr>
                <w:sz w:val="22"/>
                <w:szCs w:val="22"/>
                <w:lang w:val="ro-RO"/>
              </w:rPr>
            </w:pPr>
            <w:r w:rsidRPr="00A650F0">
              <w:rPr>
                <w:sz w:val="22"/>
                <w:szCs w:val="22"/>
                <w:lang w:val="ro-RO"/>
              </w:rPr>
              <w:t>ponderea unităţilor de neinteres în mulţimea unităţilor respondente este aceeaşi cu ponderea unităţilor de neinteres în mulţimea unităţilor non-respondente.</w:t>
            </w:r>
          </w:p>
          <w:p w:rsidR="00B34C1E" w:rsidRPr="00A650F0" w:rsidRDefault="00B34C1E" w:rsidP="00902A9C">
            <w:pPr>
              <w:numPr>
                <w:ilvl w:val="0"/>
                <w:numId w:val="6"/>
              </w:numPr>
              <w:ind w:left="950"/>
              <w:jc w:val="both"/>
              <w:rPr>
                <w:sz w:val="22"/>
                <w:szCs w:val="22"/>
                <w:lang w:val="ro-RO"/>
              </w:rPr>
            </w:pPr>
            <w:r w:rsidRPr="00A650F0">
              <w:rPr>
                <w:sz w:val="22"/>
                <w:szCs w:val="22"/>
                <w:lang w:val="ro-RO"/>
              </w:rPr>
              <w:t>numărul unităţilor de neinteres din baza de sondaj este acelaşi cu numărul unităţilor de neinteres excluse din baza de sondaj.</w:t>
            </w:r>
          </w:p>
          <w:p w:rsidR="00B34C1E" w:rsidRPr="00A650F0" w:rsidRDefault="00B34C1E" w:rsidP="00902A9C">
            <w:pPr>
              <w:numPr>
                <w:ilvl w:val="0"/>
                <w:numId w:val="6"/>
              </w:numPr>
              <w:ind w:left="950"/>
              <w:jc w:val="both"/>
              <w:rPr>
                <w:sz w:val="22"/>
                <w:szCs w:val="22"/>
                <w:lang w:val="ro-RO"/>
              </w:rPr>
            </w:pPr>
            <w:r w:rsidRPr="00A650F0">
              <w:rPr>
                <w:sz w:val="22"/>
                <w:szCs w:val="22"/>
                <w:lang w:val="ro-RO"/>
              </w:rPr>
              <w:t xml:space="preserve">valoarea medie a oricărei variabile de interes este aceeaşi în mulţimea accesibilă a populaţiei de </w:t>
            </w:r>
            <w:r w:rsidRPr="00A650F0">
              <w:rPr>
                <w:sz w:val="22"/>
                <w:szCs w:val="22"/>
                <w:lang w:val="ro-RO"/>
              </w:rPr>
              <w:lastRenderedPageBreak/>
              <w:t>referinţă din baza de sondaj ca şi cea din mulţimea neaccesibilă.</w:t>
            </w:r>
          </w:p>
          <w:p w:rsidR="00B34C1E" w:rsidRPr="00A650F0" w:rsidRDefault="00B34C1E" w:rsidP="00B34C1E">
            <w:pPr>
              <w:pStyle w:val="Style16"/>
              <w:widowControl/>
              <w:spacing w:before="60" w:line="240" w:lineRule="auto"/>
              <w:rPr>
                <w:rFonts w:ascii="Times New Roman" w:hAnsi="Times New Roman"/>
                <w:sz w:val="20"/>
                <w:szCs w:val="20"/>
                <w:lang w:val="ro-RO"/>
              </w:rPr>
            </w:pPr>
            <w:r w:rsidRPr="00A650F0">
              <w:rPr>
                <w:rFonts w:ascii="Times New Roman" w:hAnsi="Times New Roman"/>
                <w:sz w:val="22"/>
                <w:szCs w:val="22"/>
                <w:lang w:val="ro-RO"/>
              </w:rPr>
              <w:t>Pentru a reduce non-răspunsurile, statisticienii de la direcțiile teritoriale de statistică contactează sau re-contactează unitățile/respondenții care nu au transmis datele, indiferent de clasa de mărime a întreprinderii, dar se insistă mai mult asupra întreprinderilor cu peste 250 de angajați, acestea sunt incluse exhaustiv în cercetare. În faza de colectare a datelor, sistemul on-line a transmis automat notificări tuturor întreprinderile din eșantion.</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885" w:type="dxa"/>
              <w:bottom w:w="20" w:type="dxa"/>
              <w:right w:w="129" w:type="dxa"/>
            </w:tcMar>
          </w:tcPr>
          <w:p w:rsidR="00B34C1E" w:rsidRPr="00A650F0" w:rsidRDefault="00117AF0" w:rsidP="00B34C1E">
            <w:pPr>
              <w:jc w:val="both"/>
              <w:rPr>
                <w:rFonts w:ascii="Bookman Old Style" w:hAnsi="Bookman Old Style"/>
                <w:b/>
                <w:bCs/>
                <w:sz w:val="20"/>
                <w:szCs w:val="20"/>
                <w:lang w:val="ro-RO"/>
              </w:rPr>
            </w:pPr>
            <w:bookmarkStart w:id="39" w:name="unit_nonresponse_rate"/>
            <w:bookmarkEnd w:id="39"/>
            <w:r w:rsidRPr="00A650F0">
              <w:rPr>
                <w:b/>
                <w:bCs/>
                <w:sz w:val="22"/>
                <w:szCs w:val="22"/>
                <w:lang w:val="ro-RO"/>
              </w:rPr>
              <w:lastRenderedPageBreak/>
              <w:t>6.3.3.1. Rata de non-răspuns total</w:t>
            </w:r>
          </w:p>
        </w:tc>
      </w:tr>
      <w:tr w:rsidR="00B34C1E"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117AF0" w:rsidRPr="00A650F0" w:rsidRDefault="00117AF0" w:rsidP="00117AF0">
            <w:pPr>
              <w:spacing w:before="30" w:after="30"/>
              <w:jc w:val="both"/>
              <w:rPr>
                <w:sz w:val="22"/>
                <w:szCs w:val="22"/>
                <w:highlight w:val="yellow"/>
                <w:lang w:val="ro-RO"/>
              </w:rPr>
            </w:pPr>
            <w:r w:rsidRPr="00A650F0">
              <w:rPr>
                <w:sz w:val="22"/>
                <w:szCs w:val="22"/>
                <w:lang w:val="ro-RO"/>
              </w:rPr>
              <w:t>Tratamentul non-răspunsurilor se referă atât la statutul întreprinderilor din anchetă, cât şi la tipul de răspuns al acestora.</w:t>
            </w:r>
          </w:p>
          <w:p w:rsidR="00117AF0" w:rsidRPr="00A650F0" w:rsidRDefault="00117AF0" w:rsidP="00117AF0">
            <w:pPr>
              <w:spacing w:before="30" w:after="30"/>
              <w:jc w:val="both"/>
              <w:rPr>
                <w:sz w:val="22"/>
                <w:szCs w:val="22"/>
                <w:highlight w:val="yellow"/>
                <w:lang w:val="ro-RO"/>
              </w:rPr>
            </w:pPr>
            <w:r w:rsidRPr="00A650F0">
              <w:rPr>
                <w:sz w:val="22"/>
                <w:szCs w:val="22"/>
                <w:lang w:val="ro-RO"/>
              </w:rPr>
              <w:t>Metoda de estimare implică înmulţirea valorii pentru fiecare întreprindere din eşantion cu o combinaţie de ponderi, una fiind ponderea de aplatizare a valorilor aberante, iar cealaltă ponderea rezultă din planul de sondaj. Ponderea de aplatizare a valorilor aberante este o pondere de tip Windsor. Valorile pentru care z-score este în afara intervalului [-3,3] sunt considerate valori aberante. Z-score se calculează la nivel de strat (celulă). Pentru ajustarea non-răspunsului se calculează o pondere ce rezultă din planul de sondaj prin înmulţirea coeficientul inţial cu un coeficient ce reprezintă inversul probabilităţii de răspuns (</w:t>
            </w:r>
            <w:r w:rsidRPr="00A650F0">
              <w:rPr>
                <w:lang w:val="ro-RO"/>
              </w:rPr>
              <w:t>descrisă la punctul</w:t>
            </w:r>
            <w:r w:rsidRPr="00A650F0">
              <w:rPr>
                <w:sz w:val="22"/>
                <w:szCs w:val="22"/>
                <w:lang w:val="ro-RO"/>
              </w:rPr>
              <w:t xml:space="preserve"> 6.2).</w:t>
            </w:r>
          </w:p>
          <w:p w:rsidR="00B34C1E" w:rsidRPr="00A650F0" w:rsidRDefault="00117AF0" w:rsidP="00117AF0">
            <w:pPr>
              <w:pStyle w:val="Style16"/>
              <w:widowControl/>
              <w:spacing w:before="60" w:line="240" w:lineRule="auto"/>
              <w:rPr>
                <w:rFonts w:ascii="Times New Roman" w:hAnsi="Times New Roman"/>
                <w:sz w:val="20"/>
                <w:szCs w:val="20"/>
                <w:lang w:val="ro-RO"/>
              </w:rPr>
            </w:pPr>
            <w:r w:rsidRPr="00A650F0">
              <w:rPr>
                <w:rFonts w:ascii="Times New Roman" w:hAnsi="Times New Roman"/>
                <w:sz w:val="22"/>
                <w:szCs w:val="22"/>
                <w:lang w:val="ro-RO"/>
              </w:rPr>
              <w:t xml:space="preserve">Ratele de non-răspuns sunt prezentate în </w:t>
            </w:r>
            <w:r w:rsidRPr="00A650F0">
              <w:rPr>
                <w:rStyle w:val="Emphasis"/>
                <w:rFonts w:ascii="Times New Roman" w:hAnsi="Times New Roman"/>
                <w:b/>
                <w:bCs/>
                <w:sz w:val="22"/>
                <w:szCs w:val="22"/>
                <w:lang w:val="ro-RO"/>
              </w:rPr>
              <w:t>tabelul 6.3.3.1.</w:t>
            </w:r>
            <w:r w:rsidRPr="00A650F0">
              <w:rPr>
                <w:rFonts w:ascii="Times New Roman" w:hAnsi="Times New Roman"/>
                <w:sz w:val="22"/>
                <w:szCs w:val="22"/>
                <w:lang w:val="ro-RO"/>
              </w:rPr>
              <w:t xml:space="preserve"> din anexă 'RO - tabelele ESQRS FORPRO 2015 (excel)'.</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885" w:type="dxa"/>
              <w:bottom w:w="20" w:type="dxa"/>
              <w:right w:w="129" w:type="dxa"/>
            </w:tcMar>
          </w:tcPr>
          <w:p w:rsidR="00B34C1E" w:rsidRPr="00A650F0" w:rsidRDefault="00DF7240" w:rsidP="00B34C1E">
            <w:pPr>
              <w:jc w:val="both"/>
              <w:rPr>
                <w:rFonts w:ascii="Bookman Old Style" w:hAnsi="Bookman Old Style"/>
                <w:b/>
                <w:bCs/>
                <w:sz w:val="20"/>
                <w:szCs w:val="20"/>
                <w:lang w:val="ro-RO"/>
              </w:rPr>
            </w:pPr>
            <w:bookmarkStart w:id="40" w:name="item_nonresponse_rate"/>
            <w:bookmarkEnd w:id="40"/>
            <w:r w:rsidRPr="00A650F0">
              <w:rPr>
                <w:b/>
                <w:bCs/>
                <w:sz w:val="22"/>
                <w:szCs w:val="22"/>
                <w:lang w:val="ro-RO"/>
              </w:rPr>
              <w:t>6.3.3.2. Rata de non-răspuns parţial</w:t>
            </w:r>
          </w:p>
        </w:tc>
      </w:tr>
      <w:tr w:rsidR="00B34C1E"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F7240" w:rsidRPr="00A650F0" w:rsidRDefault="00DF7240" w:rsidP="00DF7240">
            <w:pPr>
              <w:spacing w:before="30" w:after="30"/>
              <w:jc w:val="both"/>
              <w:rPr>
                <w:sz w:val="22"/>
                <w:szCs w:val="22"/>
                <w:lang w:val="ro-RO"/>
              </w:rPr>
            </w:pPr>
            <w:r w:rsidRPr="00A650F0">
              <w:rPr>
                <w:sz w:val="22"/>
                <w:szCs w:val="22"/>
                <w:lang w:val="ro-RO"/>
              </w:rPr>
              <w:t>Nu au fost acceptate cazurile de non-răspuns în faza de colectare a datelor. Prin urmare, întreprinderile au fost re-contactate de mai multe ori, iar variabilele lipsă au fost completate. Astfel, toate variabilele cheie au fost colectate de la unitățile respondente.</w:t>
            </w:r>
          </w:p>
          <w:p w:rsidR="00DF7240" w:rsidRPr="00A650F0" w:rsidRDefault="00DF7240" w:rsidP="00DF7240">
            <w:pPr>
              <w:spacing w:before="30" w:after="30"/>
              <w:jc w:val="both"/>
              <w:rPr>
                <w:sz w:val="22"/>
                <w:szCs w:val="22"/>
                <w:lang w:val="ro-RO"/>
              </w:rPr>
            </w:pPr>
            <w:r w:rsidRPr="00A650F0">
              <w:rPr>
                <w:sz w:val="22"/>
                <w:szCs w:val="22"/>
                <w:lang w:val="ro-RO"/>
              </w:rPr>
              <w:t>Un număr nesemnificativ de cazuri de non-răspuns au fost înregistrate la sfârșitul colectării datelor: doar 10 întreprinderi, doar pentru 2 variabile (A4 Numărul total al orelor efectiv lucrate, A5 Costul total al forţei de muncă).</w:t>
            </w:r>
          </w:p>
          <w:p w:rsidR="00DF7240" w:rsidRPr="00A650F0" w:rsidRDefault="00DF7240" w:rsidP="00DF7240">
            <w:pPr>
              <w:spacing w:before="30" w:after="30"/>
              <w:jc w:val="both"/>
              <w:rPr>
                <w:sz w:val="22"/>
                <w:szCs w:val="22"/>
                <w:lang w:val="ro-RO"/>
              </w:rPr>
            </w:pPr>
            <w:r w:rsidRPr="00A650F0">
              <w:rPr>
                <w:sz w:val="22"/>
                <w:szCs w:val="22"/>
                <w:lang w:val="ro-RO"/>
              </w:rPr>
              <w:t>Aceste variabile au fost imputate din Ancheta costului forței de muncă (S3) pentru același an de referință (2015), la care întreprinderile respective au răspuns.</w:t>
            </w:r>
          </w:p>
          <w:p w:rsidR="00DF7240" w:rsidRPr="00A650F0" w:rsidRDefault="00DF7240" w:rsidP="00DF7240">
            <w:pPr>
              <w:spacing w:before="30" w:after="30"/>
              <w:rPr>
                <w:sz w:val="22"/>
                <w:szCs w:val="22"/>
                <w:lang w:val="ro-RO"/>
              </w:rPr>
            </w:pPr>
            <w:r w:rsidRPr="00A650F0">
              <w:rPr>
                <w:sz w:val="22"/>
                <w:szCs w:val="22"/>
                <w:lang w:val="ro-RO"/>
              </w:rPr>
              <w:t>A fost aplicată următoarea metodă:</w:t>
            </w:r>
          </w:p>
          <w:p w:rsidR="00DF7240" w:rsidRPr="00A650F0" w:rsidRDefault="00DF7240" w:rsidP="00902A9C">
            <w:pPr>
              <w:numPr>
                <w:ilvl w:val="0"/>
                <w:numId w:val="12"/>
              </w:numPr>
              <w:jc w:val="both"/>
              <w:rPr>
                <w:sz w:val="22"/>
                <w:szCs w:val="22"/>
                <w:lang w:val="ro-RO"/>
              </w:rPr>
            </w:pPr>
            <w:r w:rsidRPr="00A650F0">
              <w:rPr>
                <w:sz w:val="22"/>
                <w:szCs w:val="22"/>
                <w:lang w:val="ro-RO"/>
              </w:rPr>
              <w:t>pentru variabila A4 Numărul total al orelor efectiv lucrate: numărul mediu de ore efectiv lucrate anual de toți angajații din S3 a fost aplicat numărului de persoane angajate din FORPRO;</w:t>
            </w:r>
          </w:p>
          <w:p w:rsidR="00DF7240" w:rsidRPr="00A650F0" w:rsidRDefault="00DF7240" w:rsidP="00902A9C">
            <w:pPr>
              <w:numPr>
                <w:ilvl w:val="0"/>
                <w:numId w:val="12"/>
              </w:numPr>
              <w:jc w:val="both"/>
              <w:rPr>
                <w:sz w:val="22"/>
                <w:szCs w:val="22"/>
                <w:lang w:val="ro-RO"/>
              </w:rPr>
            </w:pPr>
            <w:r w:rsidRPr="00A650F0">
              <w:rPr>
                <w:sz w:val="22"/>
                <w:szCs w:val="22"/>
                <w:lang w:val="ro-RO"/>
              </w:rPr>
              <w:t xml:space="preserve">pentru variabila A5 Costul total al forţei de muncă: pentru întreprinderile comune costul forței de muncă corespunzător din S3 a fost preluat în FORPRO. </w:t>
            </w:r>
          </w:p>
          <w:p w:rsidR="00B34C1E" w:rsidRPr="00A650F0" w:rsidRDefault="00DF7240" w:rsidP="00DF7240">
            <w:pPr>
              <w:pStyle w:val="Style16"/>
              <w:widowControl/>
              <w:spacing w:before="60" w:line="240" w:lineRule="auto"/>
              <w:rPr>
                <w:rFonts w:ascii="Times New Roman" w:hAnsi="Times New Roman"/>
                <w:b/>
                <w:bCs/>
                <w:sz w:val="20"/>
                <w:szCs w:val="20"/>
                <w:lang w:val="ro-RO"/>
              </w:rPr>
            </w:pPr>
            <w:r w:rsidRPr="00A650F0">
              <w:rPr>
                <w:rFonts w:ascii="Times New Roman" w:hAnsi="Times New Roman"/>
                <w:sz w:val="22"/>
                <w:szCs w:val="22"/>
                <w:lang w:val="ro-RO"/>
              </w:rPr>
              <w:t xml:space="preserve">Ratele de non-răspuns parțial sunt prezentate în </w:t>
            </w:r>
            <w:r w:rsidRPr="00A650F0">
              <w:rPr>
                <w:rStyle w:val="Emphasis"/>
                <w:rFonts w:ascii="Times New Roman" w:hAnsi="Times New Roman"/>
                <w:b/>
                <w:bCs/>
                <w:sz w:val="22"/>
                <w:szCs w:val="22"/>
                <w:lang w:val="ro-RO"/>
              </w:rPr>
              <w:t>tabelul 6.3.3.2.</w:t>
            </w:r>
            <w:r w:rsidRPr="00A650F0">
              <w:rPr>
                <w:rFonts w:ascii="Times New Roman" w:hAnsi="Times New Roman"/>
                <w:sz w:val="22"/>
                <w:szCs w:val="22"/>
                <w:lang w:val="ro-RO"/>
              </w:rPr>
              <w:t xml:space="preserve"> din anexă 'RO - tabelele ESQRS FORPRO 2015 (excel)'.</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B34C1E" w:rsidRPr="00A650F0" w:rsidRDefault="00C31416" w:rsidP="00B34C1E">
            <w:pPr>
              <w:jc w:val="both"/>
              <w:rPr>
                <w:rFonts w:ascii="Bookman Old Style" w:hAnsi="Bookman Old Style"/>
                <w:b/>
                <w:bCs/>
                <w:sz w:val="20"/>
                <w:szCs w:val="20"/>
                <w:lang w:val="ro-RO"/>
              </w:rPr>
            </w:pPr>
            <w:bookmarkStart w:id="41" w:name="processing_err"/>
            <w:bookmarkEnd w:id="41"/>
            <w:r w:rsidRPr="00A650F0">
              <w:rPr>
                <w:b/>
                <w:bCs/>
                <w:sz w:val="22"/>
                <w:szCs w:val="22"/>
                <w:lang w:val="ro-RO"/>
              </w:rPr>
              <w:t>6.3.4. Erori de procesare</w:t>
            </w:r>
          </w:p>
        </w:tc>
      </w:tr>
      <w:tr w:rsidR="00C31416"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C31416" w:rsidRPr="00A650F0" w:rsidRDefault="00C31416" w:rsidP="00C31416">
            <w:pPr>
              <w:spacing w:before="30" w:after="30"/>
              <w:jc w:val="both"/>
              <w:rPr>
                <w:sz w:val="22"/>
                <w:szCs w:val="22"/>
                <w:lang w:val="ro-RO"/>
              </w:rPr>
            </w:pPr>
            <w:r w:rsidRPr="00A650F0">
              <w:rPr>
                <w:sz w:val="22"/>
                <w:szCs w:val="22"/>
                <w:lang w:val="ro-RO"/>
              </w:rPr>
              <w:t xml:space="preserve">În total, pentru verificarea și corelarea datelor s-au utilizat circa </w:t>
            </w:r>
            <w:r w:rsidRPr="00A650F0">
              <w:rPr>
                <w:b/>
                <w:sz w:val="22"/>
                <w:szCs w:val="22"/>
                <w:lang w:val="ro-RO"/>
              </w:rPr>
              <w:t>300 de teste logice</w:t>
            </w:r>
            <w:r w:rsidRPr="00A650F0">
              <w:rPr>
                <w:sz w:val="22"/>
                <w:szCs w:val="22"/>
                <w:lang w:val="ro-RO"/>
              </w:rPr>
              <w:t xml:space="preserve"> care s-au concentrat pe indicatori cheie, precum: numărul angajaților, numărul total al orelor efectiv lucrate, costul total al forţei de muncă,</w:t>
            </w:r>
            <w:r w:rsidRPr="00A650F0">
              <w:rPr>
                <w:lang w:val="ro-RO"/>
              </w:rPr>
              <w:t xml:space="preserve"> </w:t>
            </w:r>
            <w:r w:rsidRPr="00A650F0">
              <w:rPr>
                <w:sz w:val="22"/>
                <w:szCs w:val="22"/>
                <w:lang w:val="ro-RO"/>
              </w:rPr>
              <w:t>numărul angajaţilor care au participat la cursuri de FPC, timpul petrecut de angajaţi la toate cursurile de FPC,</w:t>
            </w:r>
            <w:r w:rsidRPr="00A650F0">
              <w:rPr>
                <w:lang w:val="ro-RO"/>
              </w:rPr>
              <w:t xml:space="preserve"> </w:t>
            </w:r>
            <w:r w:rsidRPr="00A650F0">
              <w:rPr>
                <w:sz w:val="22"/>
                <w:szCs w:val="22"/>
                <w:lang w:val="ro-RO"/>
              </w:rPr>
              <w:t>costul cursurilor de FPC etc.</w:t>
            </w:r>
          </w:p>
          <w:p w:rsidR="00C31416" w:rsidRPr="00A650F0" w:rsidRDefault="00C31416" w:rsidP="00C31416">
            <w:pPr>
              <w:spacing w:before="30" w:after="30"/>
              <w:jc w:val="both"/>
              <w:rPr>
                <w:sz w:val="22"/>
                <w:szCs w:val="22"/>
                <w:lang w:val="ro-RO"/>
              </w:rPr>
            </w:pPr>
            <w:r w:rsidRPr="00A650F0">
              <w:rPr>
                <w:rStyle w:val="Strong"/>
                <w:sz w:val="22"/>
                <w:szCs w:val="22"/>
                <w:lang w:val="ro-RO"/>
              </w:rPr>
              <w:t>Deoarece aceleași teste au fost efectuate atât la nivel local, cât și la nivel central, cea mai mare parte a erorilor găsite a fost rezolvată de la început (la nivel local). Datele au fost corectate după recontactarea întreprinderilor.</w:t>
            </w:r>
          </w:p>
          <w:p w:rsidR="00C31416" w:rsidRPr="00A650F0" w:rsidRDefault="00C31416" w:rsidP="00C31416">
            <w:pPr>
              <w:spacing w:before="30" w:after="30"/>
              <w:rPr>
                <w:sz w:val="22"/>
                <w:szCs w:val="22"/>
                <w:lang w:val="ro-RO"/>
              </w:rPr>
            </w:pPr>
            <w:r w:rsidRPr="00A650F0">
              <w:rPr>
                <w:sz w:val="22"/>
                <w:szCs w:val="22"/>
                <w:lang w:val="ro-RO"/>
              </w:rPr>
              <w:t xml:space="preserve">Aplicaţia informatică a conţinut următoarele categorii de </w:t>
            </w:r>
            <w:r w:rsidRPr="00A650F0">
              <w:rPr>
                <w:rStyle w:val="Emphasis"/>
                <w:b/>
                <w:bCs/>
                <w:sz w:val="22"/>
                <w:szCs w:val="22"/>
                <w:lang w:val="ro-RO"/>
              </w:rPr>
              <w:t>teste logice</w:t>
            </w:r>
            <w:r w:rsidRPr="00A650F0">
              <w:rPr>
                <w:sz w:val="22"/>
                <w:szCs w:val="22"/>
                <w:lang w:val="ro-RO"/>
              </w:rPr>
              <w:t xml:space="preserve"> care au verificat:</w:t>
            </w:r>
          </w:p>
          <w:p w:rsidR="00C31416" w:rsidRPr="00A650F0" w:rsidRDefault="00C31416" w:rsidP="00902A9C">
            <w:pPr>
              <w:numPr>
                <w:ilvl w:val="0"/>
                <w:numId w:val="13"/>
              </w:numPr>
              <w:ind w:left="950"/>
              <w:rPr>
                <w:sz w:val="22"/>
                <w:szCs w:val="22"/>
                <w:lang w:val="ro-RO"/>
              </w:rPr>
            </w:pPr>
            <w:r w:rsidRPr="00A650F0">
              <w:rPr>
                <w:sz w:val="22"/>
                <w:szCs w:val="22"/>
                <w:lang w:val="ro-RO"/>
              </w:rPr>
              <w:t>datele conţinute în chestionare;</w:t>
            </w:r>
          </w:p>
          <w:p w:rsidR="00C31416" w:rsidRPr="00A650F0" w:rsidRDefault="00C31416" w:rsidP="00902A9C">
            <w:pPr>
              <w:numPr>
                <w:ilvl w:val="0"/>
                <w:numId w:val="13"/>
              </w:numPr>
              <w:ind w:left="950"/>
              <w:rPr>
                <w:sz w:val="22"/>
                <w:szCs w:val="22"/>
                <w:lang w:val="ro-RO"/>
              </w:rPr>
            </w:pPr>
            <w:r w:rsidRPr="00A650F0">
              <w:rPr>
                <w:sz w:val="22"/>
                <w:szCs w:val="22"/>
                <w:lang w:val="ro-RO"/>
              </w:rPr>
              <w:t>corelaţiile logice dintre capitolele chestionarului;</w:t>
            </w:r>
          </w:p>
          <w:p w:rsidR="00C31416" w:rsidRPr="00A650F0" w:rsidRDefault="00C31416" w:rsidP="00902A9C">
            <w:pPr>
              <w:numPr>
                <w:ilvl w:val="0"/>
                <w:numId w:val="13"/>
              </w:numPr>
              <w:ind w:left="950"/>
              <w:rPr>
                <w:sz w:val="22"/>
                <w:szCs w:val="22"/>
                <w:lang w:val="ro-RO"/>
              </w:rPr>
            </w:pPr>
            <w:r w:rsidRPr="00A650F0">
              <w:rPr>
                <w:sz w:val="22"/>
                <w:szCs w:val="22"/>
                <w:lang w:val="ro-RO"/>
              </w:rPr>
              <w:t>corectitudinea şi integritatea datelor;</w:t>
            </w:r>
          </w:p>
          <w:p w:rsidR="00C31416" w:rsidRPr="00A650F0" w:rsidRDefault="00C31416" w:rsidP="00902A9C">
            <w:pPr>
              <w:numPr>
                <w:ilvl w:val="0"/>
                <w:numId w:val="13"/>
              </w:numPr>
              <w:ind w:left="950"/>
              <w:rPr>
                <w:sz w:val="22"/>
                <w:szCs w:val="22"/>
                <w:lang w:val="ro-RO"/>
              </w:rPr>
            </w:pPr>
            <w:r w:rsidRPr="00A650F0">
              <w:rPr>
                <w:sz w:val="22"/>
                <w:szCs w:val="22"/>
                <w:lang w:val="ro-RO"/>
              </w:rPr>
              <w:t>corelaţiile logice din interiorul tabelelor (pentru date numerice).</w:t>
            </w:r>
          </w:p>
          <w:p w:rsidR="00C31416" w:rsidRPr="00A650F0" w:rsidRDefault="00C31416" w:rsidP="00C31416">
            <w:pPr>
              <w:spacing w:before="30" w:after="30"/>
              <w:rPr>
                <w:sz w:val="22"/>
                <w:szCs w:val="22"/>
                <w:lang w:val="ro-RO"/>
              </w:rPr>
            </w:pPr>
            <w:r w:rsidRPr="00A650F0">
              <w:rPr>
                <w:sz w:val="22"/>
                <w:szCs w:val="22"/>
                <w:lang w:val="ro-RO"/>
              </w:rPr>
              <w:t>Controalele logice au avut scopul de a:</w:t>
            </w:r>
          </w:p>
          <w:p w:rsidR="00C31416" w:rsidRPr="00A650F0" w:rsidRDefault="00C31416" w:rsidP="00902A9C">
            <w:pPr>
              <w:numPr>
                <w:ilvl w:val="0"/>
                <w:numId w:val="14"/>
              </w:numPr>
              <w:ind w:left="950"/>
              <w:rPr>
                <w:sz w:val="22"/>
                <w:szCs w:val="22"/>
                <w:lang w:val="ro-RO"/>
              </w:rPr>
            </w:pPr>
            <w:r w:rsidRPr="00A650F0">
              <w:rPr>
                <w:sz w:val="22"/>
                <w:szCs w:val="22"/>
                <w:lang w:val="ro-RO"/>
              </w:rPr>
              <w:t>urmări şi verifica fluxurile logice ale variabilelor din chestionar;</w:t>
            </w:r>
          </w:p>
          <w:p w:rsidR="00C31416" w:rsidRPr="00A650F0" w:rsidRDefault="00C31416" w:rsidP="00902A9C">
            <w:pPr>
              <w:numPr>
                <w:ilvl w:val="0"/>
                <w:numId w:val="14"/>
              </w:numPr>
              <w:ind w:left="950"/>
              <w:rPr>
                <w:sz w:val="22"/>
                <w:szCs w:val="22"/>
                <w:lang w:val="ro-RO"/>
              </w:rPr>
            </w:pPr>
            <w:r w:rsidRPr="00A650F0">
              <w:rPr>
                <w:sz w:val="22"/>
                <w:szCs w:val="22"/>
                <w:lang w:val="ro-RO"/>
              </w:rPr>
              <w:t>realiza corelaţia dintre capitolele chestionarului;</w:t>
            </w:r>
          </w:p>
          <w:p w:rsidR="00C31416" w:rsidRPr="00A650F0" w:rsidRDefault="00C31416" w:rsidP="00902A9C">
            <w:pPr>
              <w:numPr>
                <w:ilvl w:val="0"/>
                <w:numId w:val="14"/>
              </w:numPr>
              <w:ind w:left="950"/>
              <w:rPr>
                <w:sz w:val="22"/>
                <w:szCs w:val="22"/>
                <w:lang w:val="ro-RO"/>
              </w:rPr>
            </w:pPr>
            <w:r w:rsidRPr="00A650F0">
              <w:rPr>
                <w:sz w:val="22"/>
                <w:szCs w:val="22"/>
                <w:lang w:val="ro-RO"/>
              </w:rPr>
              <w:t>corela răspunsurile la diferite întrebări în cadrul aceluiaşi capitol şi între capitolele chestionarului;</w:t>
            </w:r>
          </w:p>
          <w:p w:rsidR="00C31416" w:rsidRPr="00A650F0" w:rsidRDefault="00C31416" w:rsidP="00902A9C">
            <w:pPr>
              <w:numPr>
                <w:ilvl w:val="0"/>
                <w:numId w:val="14"/>
              </w:numPr>
              <w:ind w:left="950"/>
              <w:rPr>
                <w:sz w:val="22"/>
                <w:szCs w:val="22"/>
                <w:lang w:val="ro-RO"/>
              </w:rPr>
            </w:pPr>
            <w:r w:rsidRPr="00A650F0">
              <w:rPr>
                <w:sz w:val="22"/>
                <w:szCs w:val="22"/>
                <w:lang w:val="ro-RO"/>
              </w:rPr>
              <w:lastRenderedPageBreak/>
              <w:t>verifica corelarea datelor obţinute ca răspuns la diferite întrebări (pentru cele cantitative);</w:t>
            </w:r>
          </w:p>
          <w:p w:rsidR="00C31416" w:rsidRPr="00A650F0" w:rsidRDefault="00C31416" w:rsidP="00902A9C">
            <w:pPr>
              <w:numPr>
                <w:ilvl w:val="0"/>
                <w:numId w:val="14"/>
              </w:numPr>
              <w:ind w:left="950"/>
              <w:rPr>
                <w:sz w:val="22"/>
                <w:szCs w:val="22"/>
                <w:lang w:val="ro-RO"/>
              </w:rPr>
            </w:pPr>
            <w:r w:rsidRPr="00A650F0">
              <w:rPr>
                <w:sz w:val="22"/>
                <w:szCs w:val="22"/>
                <w:lang w:val="ro-RO"/>
              </w:rPr>
              <w:t>stabili şi verifica anumite limite în care trebuie să se încadreze diferiţi indicatori;</w:t>
            </w:r>
          </w:p>
          <w:p w:rsidR="00C31416" w:rsidRPr="00A650F0" w:rsidRDefault="00C31416" w:rsidP="00902A9C">
            <w:pPr>
              <w:numPr>
                <w:ilvl w:val="0"/>
                <w:numId w:val="14"/>
              </w:numPr>
              <w:ind w:left="950"/>
              <w:jc w:val="both"/>
              <w:rPr>
                <w:sz w:val="22"/>
                <w:szCs w:val="22"/>
                <w:lang w:val="ro-RO"/>
              </w:rPr>
            </w:pPr>
            <w:r w:rsidRPr="00A650F0">
              <w:rPr>
                <w:sz w:val="22"/>
                <w:szCs w:val="22"/>
                <w:lang w:val="ro-RO"/>
              </w:rPr>
              <w:t xml:space="preserve"> compara nivelul totalurilor cu suma defalcărilor (pe rânduri şi coloane) în cadrul aceluiaşi tabel pentru datele cantitative;</w:t>
            </w:r>
          </w:p>
          <w:p w:rsidR="00C31416" w:rsidRPr="00A650F0" w:rsidRDefault="00C31416" w:rsidP="00902A9C">
            <w:pPr>
              <w:numPr>
                <w:ilvl w:val="0"/>
                <w:numId w:val="14"/>
              </w:numPr>
              <w:ind w:left="950"/>
              <w:jc w:val="both"/>
              <w:rPr>
                <w:sz w:val="22"/>
                <w:szCs w:val="22"/>
                <w:lang w:val="ro-RO"/>
              </w:rPr>
            </w:pPr>
            <w:r w:rsidRPr="00A650F0">
              <w:rPr>
                <w:sz w:val="22"/>
                <w:szCs w:val="22"/>
                <w:lang w:val="ro-RO"/>
              </w:rPr>
              <w:t>depista valorile aberante sau ilogice.</w:t>
            </w:r>
          </w:p>
          <w:p w:rsidR="00C31416" w:rsidRPr="00A650F0" w:rsidRDefault="00C31416" w:rsidP="00C31416">
            <w:pPr>
              <w:spacing w:before="30" w:after="30"/>
              <w:jc w:val="both"/>
              <w:rPr>
                <w:sz w:val="22"/>
                <w:szCs w:val="22"/>
                <w:lang w:val="ro-RO"/>
              </w:rPr>
            </w:pPr>
            <w:r w:rsidRPr="00A650F0">
              <w:rPr>
                <w:sz w:val="22"/>
                <w:szCs w:val="22"/>
                <w:lang w:val="ro-RO"/>
              </w:rPr>
              <w:t xml:space="preserve">Testele pentru verificarea </w:t>
            </w:r>
            <w:r w:rsidRPr="00A650F0">
              <w:rPr>
                <w:b/>
                <w:i/>
                <w:sz w:val="22"/>
                <w:szCs w:val="22"/>
                <w:lang w:val="ro-RO"/>
              </w:rPr>
              <w:t>integrităţii datelor</w:t>
            </w:r>
            <w:r w:rsidRPr="00A650F0">
              <w:rPr>
                <w:sz w:val="22"/>
                <w:szCs w:val="22"/>
                <w:lang w:val="ro-RO"/>
              </w:rPr>
              <w:t xml:space="preserve"> confruntă informaţiile de identificare din eşantionul de unităţi cu informaţiile din fişierele respondenţilor.</w:t>
            </w:r>
          </w:p>
          <w:p w:rsidR="00C31416" w:rsidRPr="00A650F0" w:rsidRDefault="00C31416" w:rsidP="00C31416">
            <w:pPr>
              <w:spacing w:before="30" w:after="30"/>
              <w:rPr>
                <w:sz w:val="22"/>
                <w:szCs w:val="22"/>
                <w:lang w:val="ro-RO"/>
              </w:rPr>
            </w:pPr>
            <w:r w:rsidRPr="00A650F0">
              <w:rPr>
                <w:sz w:val="22"/>
                <w:szCs w:val="22"/>
                <w:lang w:val="ro-RO"/>
              </w:rPr>
              <w:t>Pentru soluția informatică la nivel central au fost create proceduri mai precise și detaliate pentru:</w:t>
            </w:r>
            <w:r w:rsidRPr="00A650F0">
              <w:rPr>
                <w:sz w:val="22"/>
                <w:szCs w:val="22"/>
                <w:highlight w:val="yellow"/>
                <w:lang w:val="ro-RO"/>
              </w:rPr>
              <w:t xml:space="preserve"> </w:t>
            </w:r>
          </w:p>
          <w:p w:rsidR="00C31416" w:rsidRPr="00A650F0" w:rsidRDefault="00C31416" w:rsidP="00902A9C">
            <w:pPr>
              <w:numPr>
                <w:ilvl w:val="0"/>
                <w:numId w:val="15"/>
              </w:numPr>
              <w:ind w:left="950"/>
              <w:rPr>
                <w:sz w:val="22"/>
                <w:szCs w:val="22"/>
                <w:lang w:val="ro-RO"/>
              </w:rPr>
            </w:pPr>
            <w:r w:rsidRPr="00A650F0">
              <w:rPr>
                <w:sz w:val="22"/>
                <w:szCs w:val="22"/>
                <w:lang w:val="ro-RO"/>
              </w:rPr>
              <w:t>verificarea integrităţii (sunt verificate datele de identificare ale unităţilor selectate şi ale unităţilor respondente – codul fiscal, adresa, activitatea CAEN, etc.),</w:t>
            </w:r>
          </w:p>
          <w:p w:rsidR="00C31416" w:rsidRPr="00A650F0" w:rsidRDefault="00C31416" w:rsidP="00902A9C">
            <w:pPr>
              <w:numPr>
                <w:ilvl w:val="0"/>
                <w:numId w:val="15"/>
              </w:numPr>
              <w:ind w:left="950"/>
              <w:rPr>
                <w:sz w:val="22"/>
                <w:szCs w:val="22"/>
                <w:lang w:val="ro-RO"/>
              </w:rPr>
            </w:pPr>
            <w:r w:rsidRPr="00A650F0">
              <w:rPr>
                <w:sz w:val="22"/>
                <w:szCs w:val="22"/>
                <w:lang w:val="ro-RO"/>
              </w:rPr>
              <w:t>acuratețea și corelarea datelor,</w:t>
            </w:r>
          </w:p>
          <w:p w:rsidR="00C31416" w:rsidRPr="00A650F0" w:rsidRDefault="00C31416" w:rsidP="00902A9C">
            <w:pPr>
              <w:numPr>
                <w:ilvl w:val="0"/>
                <w:numId w:val="15"/>
              </w:numPr>
              <w:ind w:left="950"/>
              <w:rPr>
                <w:sz w:val="22"/>
                <w:szCs w:val="22"/>
                <w:lang w:val="ro-RO"/>
              </w:rPr>
            </w:pPr>
            <w:r w:rsidRPr="00A650F0">
              <w:rPr>
                <w:sz w:val="22"/>
                <w:szCs w:val="22"/>
                <w:lang w:val="ro-RO"/>
              </w:rPr>
              <w:t>proceduri de ajustare și extindere,</w:t>
            </w:r>
          </w:p>
          <w:p w:rsidR="00C31416" w:rsidRPr="00A650F0" w:rsidRDefault="00C31416" w:rsidP="00902A9C">
            <w:pPr>
              <w:numPr>
                <w:ilvl w:val="0"/>
                <w:numId w:val="15"/>
              </w:numPr>
              <w:ind w:left="950"/>
              <w:rPr>
                <w:sz w:val="22"/>
                <w:szCs w:val="22"/>
                <w:lang w:val="ro-RO"/>
              </w:rPr>
            </w:pPr>
            <w:r w:rsidRPr="00A650F0">
              <w:rPr>
                <w:sz w:val="22"/>
                <w:szCs w:val="22"/>
                <w:lang w:val="ro-RO"/>
              </w:rPr>
              <w:t>metode de imputare,</w:t>
            </w:r>
          </w:p>
          <w:p w:rsidR="00C31416" w:rsidRPr="00A650F0" w:rsidRDefault="00C31416" w:rsidP="00902A9C">
            <w:pPr>
              <w:numPr>
                <w:ilvl w:val="0"/>
                <w:numId w:val="15"/>
              </w:numPr>
              <w:ind w:left="950"/>
              <w:rPr>
                <w:sz w:val="22"/>
                <w:szCs w:val="22"/>
                <w:lang w:val="ro-RO"/>
              </w:rPr>
            </w:pPr>
            <w:r w:rsidRPr="00A650F0">
              <w:rPr>
                <w:sz w:val="22"/>
                <w:szCs w:val="22"/>
                <w:lang w:val="ro-RO"/>
              </w:rPr>
              <w:t>realizarea tabelelor cu date brute sau extinse.</w:t>
            </w:r>
          </w:p>
          <w:p w:rsidR="00C31416" w:rsidRPr="00A650F0" w:rsidRDefault="00C31416" w:rsidP="00C31416">
            <w:pPr>
              <w:spacing w:before="30" w:after="30"/>
              <w:jc w:val="both"/>
              <w:rPr>
                <w:sz w:val="22"/>
                <w:szCs w:val="22"/>
                <w:lang w:val="ro-RO"/>
              </w:rPr>
            </w:pPr>
            <w:r w:rsidRPr="00A650F0">
              <w:rPr>
                <w:sz w:val="22"/>
                <w:szCs w:val="22"/>
                <w:lang w:val="ro-RO"/>
              </w:rPr>
              <w:t>La nivel central s-au desfăşurat şi alte activităţi pentru soluţionarea sau reducerea numărului erorilor:</w:t>
            </w:r>
          </w:p>
          <w:p w:rsidR="00C31416" w:rsidRPr="00A650F0" w:rsidRDefault="00C31416" w:rsidP="00902A9C">
            <w:pPr>
              <w:numPr>
                <w:ilvl w:val="0"/>
                <w:numId w:val="16"/>
              </w:numPr>
              <w:ind w:left="950"/>
              <w:jc w:val="both"/>
              <w:rPr>
                <w:sz w:val="22"/>
                <w:szCs w:val="22"/>
                <w:lang w:val="ro-RO"/>
              </w:rPr>
            </w:pPr>
            <w:r w:rsidRPr="00A650F0">
              <w:rPr>
                <w:sz w:val="22"/>
                <w:szCs w:val="22"/>
                <w:lang w:val="ro-RO"/>
              </w:rPr>
              <w:t>comparabilitatea datelor cu ancheta anterioară (FORPRO 2010) pentru variabilele principale şi comune,</w:t>
            </w:r>
          </w:p>
          <w:p w:rsidR="00C31416" w:rsidRPr="00A650F0" w:rsidRDefault="00C31416" w:rsidP="00902A9C">
            <w:pPr>
              <w:numPr>
                <w:ilvl w:val="0"/>
                <w:numId w:val="16"/>
              </w:numPr>
              <w:ind w:left="950"/>
              <w:jc w:val="both"/>
              <w:rPr>
                <w:sz w:val="22"/>
                <w:szCs w:val="22"/>
                <w:lang w:val="ro-RO"/>
              </w:rPr>
            </w:pPr>
            <w:r w:rsidRPr="00A650F0">
              <w:rPr>
                <w:sz w:val="22"/>
                <w:szCs w:val="22"/>
                <w:lang w:val="ro-RO"/>
              </w:rPr>
              <w:t>comparabilitatea datelor cu alte surse de date (de exemplu, Ancheta costului forţei de muncă din 2015 pentru variabilele comune),</w:t>
            </w:r>
          </w:p>
          <w:p w:rsidR="00C31416" w:rsidRPr="00A650F0" w:rsidRDefault="00C31416" w:rsidP="00902A9C">
            <w:pPr>
              <w:numPr>
                <w:ilvl w:val="0"/>
                <w:numId w:val="16"/>
              </w:numPr>
              <w:ind w:left="950"/>
              <w:jc w:val="both"/>
              <w:rPr>
                <w:sz w:val="22"/>
                <w:szCs w:val="22"/>
                <w:lang w:val="ro-RO"/>
              </w:rPr>
            </w:pPr>
            <w:r w:rsidRPr="00A650F0">
              <w:rPr>
                <w:sz w:val="22"/>
                <w:szCs w:val="22"/>
                <w:lang w:val="ro-RO"/>
              </w:rPr>
              <w:t>codificarea variabilelor naţionale conform variabilelor stipulate în regulament,</w:t>
            </w:r>
          </w:p>
          <w:p w:rsidR="00C31416" w:rsidRPr="00A650F0" w:rsidRDefault="00C31416" w:rsidP="00902A9C">
            <w:pPr>
              <w:numPr>
                <w:ilvl w:val="0"/>
                <w:numId w:val="16"/>
              </w:numPr>
              <w:ind w:left="950"/>
              <w:jc w:val="both"/>
              <w:rPr>
                <w:sz w:val="22"/>
                <w:szCs w:val="22"/>
                <w:lang w:val="ro-RO"/>
              </w:rPr>
            </w:pPr>
            <w:r w:rsidRPr="00A650F0">
              <w:rPr>
                <w:sz w:val="22"/>
                <w:szCs w:val="22"/>
                <w:lang w:val="ro-RO"/>
              </w:rPr>
              <w:t>transpunerea automată a rezultatelor finale în formatul standard proiectat de Eurostat pentru transmiterea microdatelor.</w:t>
            </w:r>
          </w:p>
          <w:p w:rsidR="00C31416" w:rsidRPr="00A650F0" w:rsidRDefault="00C31416" w:rsidP="00C31416">
            <w:pPr>
              <w:spacing w:before="30" w:after="30"/>
              <w:jc w:val="both"/>
              <w:rPr>
                <w:sz w:val="22"/>
                <w:szCs w:val="22"/>
                <w:lang w:val="ro-RO"/>
              </w:rPr>
            </w:pPr>
            <w:r w:rsidRPr="00A650F0">
              <w:rPr>
                <w:sz w:val="22"/>
                <w:szCs w:val="22"/>
                <w:lang w:val="ro-RO"/>
              </w:rPr>
              <w:t>Chestionarul, notele explicative detaliate furnizate prin manualul anchetei și soluțiile informatice dezvoltate au avut ca rezultat un set de date complet și de bună calitate.</w:t>
            </w:r>
          </w:p>
          <w:p w:rsidR="00C31416" w:rsidRPr="00A650F0" w:rsidRDefault="00C31416" w:rsidP="00C31416">
            <w:pPr>
              <w:spacing w:before="30" w:after="30"/>
              <w:jc w:val="both"/>
              <w:rPr>
                <w:sz w:val="22"/>
                <w:szCs w:val="22"/>
                <w:lang w:val="ro-RO"/>
              </w:rPr>
            </w:pPr>
            <w:r w:rsidRPr="00A650F0">
              <w:rPr>
                <w:sz w:val="22"/>
                <w:szCs w:val="22"/>
                <w:lang w:val="ro-RO"/>
              </w:rPr>
              <w:t>După validare, datele din FORPRO au fost analizate și corectate dacă a fost necesar. Pentru a furniza date mai precise și mai fiabile, s-au făcut comparații între variabile și/sau alte surse de date.</w:t>
            </w:r>
          </w:p>
          <w:p w:rsidR="00C31416" w:rsidRPr="00A650F0" w:rsidRDefault="00C31416" w:rsidP="00C31416">
            <w:pPr>
              <w:spacing w:before="30" w:after="30"/>
              <w:jc w:val="both"/>
              <w:rPr>
                <w:sz w:val="22"/>
                <w:szCs w:val="22"/>
                <w:lang w:val="ro-RO"/>
              </w:rPr>
            </w:pPr>
            <w:r w:rsidRPr="00A650F0">
              <w:rPr>
                <w:sz w:val="22"/>
                <w:szCs w:val="22"/>
                <w:lang w:val="ro-RO"/>
              </w:rPr>
              <w:t xml:space="preserve">La nivel național, datele din FORPRO au fost defalcate pe diferite variabile și grupări (secțiuni și diviziuni CAEN, clase de mărime ale întreprinderilor). Pentru transmiterea microdatelor la Eurostat s-a folosit codificarea automată a variabilelor naționale în formatul standard. </w:t>
            </w:r>
          </w:p>
        </w:tc>
      </w:tr>
      <w:tr w:rsidR="00B34C1E"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885" w:type="dxa"/>
              <w:bottom w:w="20" w:type="dxa"/>
              <w:right w:w="129" w:type="dxa"/>
            </w:tcMar>
          </w:tcPr>
          <w:p w:rsidR="00B34C1E" w:rsidRPr="00A650F0" w:rsidRDefault="00A650F0" w:rsidP="00B34C1E">
            <w:pPr>
              <w:jc w:val="both"/>
              <w:rPr>
                <w:rFonts w:ascii="Bookman Old Style" w:hAnsi="Bookman Old Style"/>
                <w:b/>
                <w:bCs/>
                <w:sz w:val="20"/>
                <w:szCs w:val="20"/>
                <w:lang w:val="ro-RO"/>
              </w:rPr>
            </w:pPr>
            <w:bookmarkStart w:id="42" w:name="imputation_rate"/>
            <w:bookmarkEnd w:id="42"/>
            <w:r w:rsidRPr="00A650F0">
              <w:rPr>
                <w:b/>
                <w:bCs/>
                <w:sz w:val="22"/>
                <w:szCs w:val="22"/>
                <w:lang w:val="ro-RO"/>
              </w:rPr>
              <w:lastRenderedPageBreak/>
              <w:t>6.3.4.1. Rata de imputare</w:t>
            </w:r>
          </w:p>
        </w:tc>
      </w:tr>
      <w:tr w:rsidR="00A650F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A650F0" w:rsidRDefault="00A650F0" w:rsidP="00A650F0">
            <w:pPr>
              <w:spacing w:before="30" w:after="30"/>
              <w:jc w:val="both"/>
              <w:rPr>
                <w:sz w:val="22"/>
                <w:szCs w:val="22"/>
                <w:lang w:val="ro-RO"/>
              </w:rPr>
            </w:pPr>
            <w:r w:rsidRPr="00A650F0">
              <w:rPr>
                <w:sz w:val="22"/>
                <w:szCs w:val="22"/>
                <w:lang w:val="ro-RO"/>
              </w:rPr>
              <w:t>Numărul cazurilor imputate a fost nesemnificativ (doar 10 întreprinderi, 2 variabile).</w:t>
            </w:r>
          </w:p>
          <w:p w:rsidR="00A650F0" w:rsidRPr="00A650F0" w:rsidRDefault="00A650F0" w:rsidP="00A650F0">
            <w:pPr>
              <w:spacing w:before="30" w:after="30"/>
              <w:jc w:val="both"/>
              <w:rPr>
                <w:sz w:val="22"/>
                <w:szCs w:val="22"/>
                <w:lang w:val="ro-RO"/>
              </w:rPr>
            </w:pPr>
            <w:r w:rsidRPr="00A650F0">
              <w:rPr>
                <w:sz w:val="22"/>
                <w:szCs w:val="22"/>
                <w:lang w:val="ro-RO"/>
              </w:rPr>
              <w:t>Imputările efectuate au contribuit la o îmbunătățire suplimentară a estimărilor globale (vezi punctul 6.3.3.2.).</w:t>
            </w:r>
          </w:p>
          <w:p w:rsidR="00A650F0" w:rsidRPr="00A650F0" w:rsidRDefault="00A650F0" w:rsidP="00A650F0">
            <w:pPr>
              <w:spacing w:before="30" w:after="30"/>
              <w:jc w:val="both"/>
              <w:rPr>
                <w:sz w:val="22"/>
                <w:szCs w:val="22"/>
                <w:lang w:val="ro-RO"/>
              </w:rPr>
            </w:pPr>
            <w:r w:rsidRPr="00A650F0">
              <w:rPr>
                <w:sz w:val="22"/>
                <w:szCs w:val="22"/>
                <w:lang w:val="ro-RO"/>
              </w:rPr>
              <w:t xml:space="preserve">Ratele de imputare sunt prezentate în </w:t>
            </w:r>
            <w:r w:rsidRPr="00A650F0">
              <w:rPr>
                <w:rStyle w:val="Emphasis"/>
                <w:b/>
                <w:bCs/>
                <w:sz w:val="22"/>
                <w:szCs w:val="22"/>
                <w:lang w:val="ro-RO"/>
              </w:rPr>
              <w:t>tabelul 6.3.4.1.</w:t>
            </w:r>
            <w:r w:rsidRPr="00A650F0">
              <w:rPr>
                <w:sz w:val="22"/>
                <w:szCs w:val="22"/>
                <w:lang w:val="ro-RO"/>
              </w:rPr>
              <w:t xml:space="preserve"> din anexă 'RO - tabelele ESQRS FORPRO 2015 (excel)'.</w:t>
            </w:r>
          </w:p>
        </w:tc>
      </w:tr>
      <w:tr w:rsidR="00A650F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A650F0" w:rsidRPr="00A650F0" w:rsidRDefault="00A650F0" w:rsidP="00A650F0">
            <w:pPr>
              <w:jc w:val="both"/>
              <w:rPr>
                <w:rFonts w:ascii="Bookman Old Style" w:hAnsi="Bookman Old Style"/>
                <w:b/>
                <w:bCs/>
                <w:sz w:val="20"/>
                <w:szCs w:val="20"/>
                <w:lang w:val="ro-RO"/>
              </w:rPr>
            </w:pPr>
            <w:bookmarkStart w:id="43" w:name="model_assump_err"/>
            <w:bookmarkEnd w:id="43"/>
            <w:r w:rsidRPr="00A650F0">
              <w:rPr>
                <w:b/>
                <w:bCs/>
                <w:sz w:val="22"/>
                <w:szCs w:val="22"/>
                <w:lang w:val="ro-RO"/>
              </w:rPr>
              <w:t>6.3.5. Erori de modelare</w:t>
            </w:r>
          </w:p>
        </w:tc>
      </w:tr>
      <w:tr w:rsidR="00A650F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A650F0" w:rsidRDefault="00A650F0" w:rsidP="00A650F0">
            <w:pPr>
              <w:spacing w:before="30" w:after="30"/>
              <w:jc w:val="both"/>
              <w:rPr>
                <w:sz w:val="22"/>
                <w:szCs w:val="22"/>
                <w:lang w:val="ro-RO"/>
              </w:rPr>
            </w:pPr>
            <w:r w:rsidRPr="00A650F0">
              <w:rPr>
                <w:sz w:val="22"/>
                <w:szCs w:val="22"/>
                <w:lang w:val="ro-RO"/>
              </w:rPr>
              <w:t>În România anul fiscal coincide cu anul calendaristic. Nu a fost nevoie de nicio ajustare în acest sens. Ancheta FORPRO realizată în România acoperă toate activităţile economice definite în secțiunile B-N și R-S conform CAEN Rev.2 și care au 10 angajați și peste.</w:t>
            </w:r>
          </w:p>
          <w:p w:rsidR="00A650F0" w:rsidRPr="00A650F0" w:rsidRDefault="00A650F0" w:rsidP="00A650F0">
            <w:pPr>
              <w:spacing w:before="30" w:after="30"/>
              <w:jc w:val="both"/>
              <w:rPr>
                <w:sz w:val="22"/>
                <w:szCs w:val="22"/>
                <w:lang w:val="ro-RO"/>
              </w:rPr>
            </w:pPr>
            <w:r w:rsidRPr="00A650F0">
              <w:rPr>
                <w:sz w:val="22"/>
                <w:szCs w:val="22"/>
                <w:lang w:val="ro-RO"/>
              </w:rPr>
              <w:t>În conformitate cu Regulamentul Consiliului şi Parlamentului European nr.1552/2005 privind statisticile formării profesionale în întreprinderi și cu instrucţiunile de implementare a Regulamentului Comisiei nr. 1153/2014, România a furnizat date pentru toate variabilele solicitate, defalcate pe:</w:t>
            </w:r>
          </w:p>
          <w:p w:rsidR="00A650F0" w:rsidRPr="00A650F0" w:rsidRDefault="00A650F0" w:rsidP="00902A9C">
            <w:pPr>
              <w:numPr>
                <w:ilvl w:val="0"/>
                <w:numId w:val="17"/>
              </w:numPr>
              <w:ind w:left="950"/>
              <w:rPr>
                <w:sz w:val="22"/>
                <w:szCs w:val="22"/>
                <w:lang w:val="ro-RO"/>
              </w:rPr>
            </w:pPr>
            <w:r w:rsidRPr="00A650F0">
              <w:rPr>
                <w:sz w:val="22"/>
                <w:szCs w:val="22"/>
                <w:lang w:val="ro-RO"/>
              </w:rPr>
              <w:t>grupări CAEN: N1 (B, C, D, E), N2 (F), N3 (G, H, I), N4 (J, K), N5 (L, M, N, R, S); </w:t>
            </w:r>
          </w:p>
          <w:p w:rsidR="00A650F0" w:rsidRPr="00A650F0" w:rsidRDefault="00A650F0" w:rsidP="00902A9C">
            <w:pPr>
              <w:numPr>
                <w:ilvl w:val="0"/>
                <w:numId w:val="17"/>
              </w:numPr>
              <w:ind w:left="950"/>
              <w:jc w:val="both"/>
              <w:rPr>
                <w:sz w:val="22"/>
                <w:szCs w:val="22"/>
                <w:lang w:val="ro-RO"/>
              </w:rPr>
            </w:pPr>
            <w:r w:rsidRPr="00A650F0">
              <w:rPr>
                <w:sz w:val="22"/>
                <w:szCs w:val="22"/>
                <w:lang w:val="ro-RO"/>
              </w:rPr>
              <w:t>grupări pe CLASE DE MĂRIME:  S1 (10-49 angajați), S2 (50-249 angajați), S3 (250+ angajați).</w:t>
            </w:r>
          </w:p>
          <w:p w:rsidR="00A650F0" w:rsidRPr="00A650F0" w:rsidRDefault="00A650F0" w:rsidP="00A650F0">
            <w:pPr>
              <w:pStyle w:val="Style16"/>
              <w:widowControl/>
              <w:spacing w:before="60" w:line="240" w:lineRule="auto"/>
              <w:rPr>
                <w:rFonts w:ascii="Times New Roman" w:hAnsi="Times New Roman"/>
                <w:b/>
                <w:bCs/>
                <w:sz w:val="20"/>
                <w:szCs w:val="20"/>
                <w:lang w:val="ro-RO"/>
              </w:rPr>
            </w:pPr>
            <w:r w:rsidRPr="00A650F0">
              <w:rPr>
                <w:rFonts w:ascii="Times New Roman" w:hAnsi="Times New Roman"/>
                <w:sz w:val="22"/>
                <w:szCs w:val="22"/>
                <w:lang w:val="ro-RO"/>
              </w:rPr>
              <w:t>Nu au fost utilizate date administrative. Toate datele au fost obținute exclusiv din ancheta FORPRO.</w:t>
            </w:r>
          </w:p>
        </w:tc>
      </w:tr>
      <w:tr w:rsidR="00A650F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A650F0" w:rsidRPr="00A650F0" w:rsidRDefault="00A650F0" w:rsidP="00A650F0">
            <w:pPr>
              <w:jc w:val="both"/>
              <w:rPr>
                <w:rFonts w:ascii="Bookman Old Style" w:hAnsi="Bookman Old Style"/>
                <w:b/>
                <w:bCs/>
                <w:sz w:val="20"/>
                <w:szCs w:val="20"/>
                <w:lang w:val="ro-RO"/>
              </w:rPr>
            </w:pPr>
            <w:bookmarkStart w:id="44" w:name="seasonal_adj"/>
            <w:bookmarkEnd w:id="44"/>
            <w:r w:rsidRPr="00A650F0">
              <w:rPr>
                <w:b/>
                <w:bCs/>
                <w:sz w:val="22"/>
                <w:szCs w:val="22"/>
                <w:lang w:val="ro-RO"/>
              </w:rPr>
              <w:t>6.4. Ajustarea sezonieră</w:t>
            </w:r>
          </w:p>
        </w:tc>
      </w:tr>
      <w:tr w:rsidR="00A650F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A650F0" w:rsidRDefault="00A650F0" w:rsidP="00A650F0">
            <w:pPr>
              <w:jc w:val="both"/>
              <w:rPr>
                <w:rFonts w:ascii="Bookman Old Style" w:hAnsi="Bookman Old Style"/>
                <w:b/>
                <w:bCs/>
                <w:sz w:val="20"/>
                <w:szCs w:val="20"/>
                <w:lang w:val="ro-RO"/>
              </w:rPr>
            </w:pPr>
            <w:r w:rsidRPr="00A650F0">
              <w:rPr>
                <w:sz w:val="22"/>
                <w:szCs w:val="22"/>
                <w:lang w:val="ro-RO"/>
              </w:rPr>
              <w:t>Nu se aplică.</w:t>
            </w:r>
          </w:p>
        </w:tc>
      </w:tr>
      <w:tr w:rsidR="00A650F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A650F0" w:rsidRPr="00A650F0" w:rsidRDefault="00A650F0" w:rsidP="00A650F0">
            <w:pPr>
              <w:jc w:val="both"/>
              <w:rPr>
                <w:rFonts w:ascii="Bookman Old Style" w:hAnsi="Bookman Old Style"/>
                <w:b/>
                <w:bCs/>
                <w:sz w:val="20"/>
                <w:szCs w:val="20"/>
                <w:lang w:val="ro-RO"/>
              </w:rPr>
            </w:pPr>
            <w:bookmarkStart w:id="45" w:name="rev_policy"/>
            <w:bookmarkEnd w:id="45"/>
            <w:r w:rsidRPr="00A650F0">
              <w:rPr>
                <w:b/>
                <w:bCs/>
                <w:sz w:val="22"/>
                <w:szCs w:val="22"/>
                <w:lang w:val="ro-RO"/>
              </w:rPr>
              <w:t>6.5. Politica de revizuire a datelor</w:t>
            </w:r>
          </w:p>
        </w:tc>
      </w:tr>
      <w:tr w:rsidR="00A650F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Default="00A650F0" w:rsidP="00A650F0">
            <w:pPr>
              <w:jc w:val="both"/>
              <w:rPr>
                <w:sz w:val="22"/>
                <w:szCs w:val="22"/>
                <w:lang w:val="ro-RO"/>
              </w:rPr>
            </w:pPr>
            <w:r w:rsidRPr="00A650F0">
              <w:rPr>
                <w:sz w:val="22"/>
                <w:szCs w:val="22"/>
                <w:lang w:val="ro-RO"/>
              </w:rPr>
              <w:t>Nu se aplică.</w:t>
            </w:r>
          </w:p>
          <w:p w:rsidR="00E941A0" w:rsidRPr="00A650F0" w:rsidRDefault="00E941A0" w:rsidP="00A650F0">
            <w:pPr>
              <w:jc w:val="both"/>
              <w:rPr>
                <w:rFonts w:ascii="Bookman Old Style" w:hAnsi="Bookman Old Style"/>
                <w:b/>
                <w:bCs/>
                <w:sz w:val="20"/>
                <w:szCs w:val="20"/>
                <w:lang w:val="ro-RO"/>
              </w:rPr>
            </w:pPr>
          </w:p>
        </w:tc>
      </w:tr>
      <w:tr w:rsidR="00A650F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A650F0" w:rsidRPr="00A650F0" w:rsidRDefault="00A650F0" w:rsidP="00A650F0">
            <w:pPr>
              <w:jc w:val="both"/>
              <w:rPr>
                <w:rFonts w:ascii="Bookman Old Style" w:hAnsi="Bookman Old Style"/>
                <w:b/>
                <w:bCs/>
                <w:sz w:val="20"/>
                <w:szCs w:val="20"/>
                <w:lang w:val="ro-RO"/>
              </w:rPr>
            </w:pPr>
            <w:bookmarkStart w:id="46" w:name="rev_practice"/>
            <w:bookmarkEnd w:id="46"/>
            <w:r w:rsidRPr="00A650F0">
              <w:rPr>
                <w:b/>
                <w:bCs/>
                <w:sz w:val="22"/>
                <w:szCs w:val="22"/>
                <w:lang w:val="ro-RO"/>
              </w:rPr>
              <w:lastRenderedPageBreak/>
              <w:t>6.6. Modalitatea de revizuire a datelor</w:t>
            </w:r>
          </w:p>
        </w:tc>
      </w:tr>
      <w:tr w:rsidR="00A650F0" w:rsidRPr="0038436D" w:rsidTr="00367145">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A650F0" w:rsidRDefault="00A650F0" w:rsidP="00A650F0">
            <w:pPr>
              <w:jc w:val="both"/>
              <w:rPr>
                <w:rFonts w:ascii="Bookman Old Style" w:hAnsi="Bookman Old Style"/>
                <w:b/>
                <w:bCs/>
                <w:sz w:val="20"/>
                <w:szCs w:val="20"/>
                <w:lang w:val="ro-RO"/>
              </w:rPr>
            </w:pPr>
            <w:r w:rsidRPr="00A650F0">
              <w:rPr>
                <w:sz w:val="22"/>
                <w:szCs w:val="22"/>
                <w:lang w:val="ro-RO"/>
              </w:rPr>
              <w:t>Nu se aplică.</w:t>
            </w:r>
          </w:p>
        </w:tc>
      </w:tr>
      <w:tr w:rsidR="00A650F0" w:rsidRPr="0038436D" w:rsidTr="00367145">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A650F0" w:rsidRPr="00A650F0" w:rsidRDefault="00A650F0" w:rsidP="00A650F0">
            <w:pPr>
              <w:jc w:val="both"/>
              <w:rPr>
                <w:rFonts w:ascii="Bookman Old Style" w:hAnsi="Bookman Old Style"/>
                <w:b/>
                <w:bCs/>
                <w:sz w:val="20"/>
                <w:szCs w:val="20"/>
                <w:lang w:val="ro-RO"/>
              </w:rPr>
            </w:pPr>
            <w:bookmarkStart w:id="47" w:name="data_rev_avgsize"/>
            <w:bookmarkEnd w:id="47"/>
            <w:r w:rsidRPr="00A650F0">
              <w:rPr>
                <w:b/>
                <w:bCs/>
                <w:sz w:val="22"/>
                <w:szCs w:val="22"/>
                <w:lang w:val="ro-RO"/>
              </w:rPr>
              <w:t>6.6.1. Revizuirea datelor – dimensiunea medie</w:t>
            </w:r>
          </w:p>
        </w:tc>
      </w:tr>
      <w:tr w:rsidR="00A650F0" w:rsidRPr="0038436D" w:rsidTr="0033501F">
        <w:trPr>
          <w:trHeight w:val="173"/>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A650F0" w:rsidRDefault="00A650F0" w:rsidP="00A650F0">
            <w:pPr>
              <w:jc w:val="both"/>
              <w:rPr>
                <w:rFonts w:ascii="Bookman Old Style" w:hAnsi="Bookman Old Style"/>
                <w:b/>
                <w:bCs/>
                <w:sz w:val="20"/>
                <w:szCs w:val="20"/>
                <w:lang w:val="ro-RO"/>
              </w:rPr>
            </w:pPr>
            <w:r w:rsidRPr="00A650F0">
              <w:rPr>
                <w:sz w:val="22"/>
                <w:szCs w:val="22"/>
                <w:lang w:val="ro-RO"/>
              </w:rPr>
              <w:t>Nu se aplică.</w:t>
            </w:r>
          </w:p>
        </w:tc>
      </w:tr>
    </w:tbl>
    <w:p w:rsidR="00832C90" w:rsidRPr="007D14B9" w:rsidRDefault="00832C90">
      <w:pPr>
        <w:pStyle w:val="doccommon1"/>
        <w:shd w:val="clear" w:color="auto" w:fill="FFFFFF"/>
        <w:rPr>
          <w:rFonts w:ascii="Bookman Old Style" w:hAnsi="Bookman Old Style"/>
          <w:sz w:val="20"/>
          <w:szCs w:val="20"/>
          <w:lang w:val="en-GB"/>
        </w:rPr>
      </w:pPr>
    </w:p>
    <w:tbl>
      <w:tblPr>
        <w:tblW w:w="4950" w:type="pct"/>
        <w:tblCellMar>
          <w:left w:w="0" w:type="dxa"/>
          <w:right w:w="0" w:type="dxa"/>
        </w:tblCellMar>
        <w:tblLook w:val="00A0" w:firstRow="1" w:lastRow="0" w:firstColumn="1" w:lastColumn="0" w:noHBand="0" w:noVBand="0"/>
      </w:tblPr>
      <w:tblGrid>
        <w:gridCol w:w="9797"/>
      </w:tblGrid>
      <w:tr w:rsidR="00832C90" w:rsidRPr="00A650F0" w:rsidTr="00263739">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D1049F" w:rsidRDefault="00A650F0">
            <w:pPr>
              <w:rPr>
                <w:rFonts w:ascii="Bookman Old Style" w:hAnsi="Bookman Old Style"/>
                <w:b/>
                <w:bCs/>
                <w:lang w:val="ro-RO"/>
              </w:rPr>
            </w:pPr>
            <w:bookmarkStart w:id="48" w:name="timeliness_punct1502954759597"/>
            <w:bookmarkEnd w:id="48"/>
            <w:r w:rsidRPr="00D1049F">
              <w:rPr>
                <w:b/>
                <w:bCs/>
                <w:sz w:val="32"/>
                <w:szCs w:val="32"/>
                <w:lang w:val="ro-RO"/>
              </w:rPr>
              <w:t>7. Oportunitatea şi punctualitatea</w:t>
            </w:r>
          </w:p>
        </w:tc>
      </w:tr>
      <w:tr w:rsidR="00832C90" w:rsidRPr="00A650F0" w:rsidTr="00263739">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D1049F" w:rsidRDefault="00A650F0">
            <w:pPr>
              <w:rPr>
                <w:rFonts w:ascii="Bookman Old Style" w:hAnsi="Bookman Old Style"/>
                <w:b/>
                <w:bCs/>
                <w:sz w:val="20"/>
                <w:szCs w:val="20"/>
                <w:lang w:val="ro-RO"/>
              </w:rPr>
            </w:pPr>
            <w:bookmarkStart w:id="49" w:name="timeliness"/>
            <w:bookmarkEnd w:id="49"/>
            <w:r w:rsidRPr="00D1049F">
              <w:rPr>
                <w:b/>
                <w:bCs/>
                <w:sz w:val="22"/>
                <w:szCs w:val="22"/>
                <w:lang w:val="ro-RO"/>
              </w:rPr>
              <w:t>7.1. Oportunitatea</w:t>
            </w:r>
          </w:p>
        </w:tc>
      </w:tr>
      <w:tr w:rsidR="00832C90" w:rsidRPr="00A650F0" w:rsidTr="00263739">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D1049F" w:rsidRDefault="00A650F0" w:rsidP="00A650F0">
            <w:pPr>
              <w:spacing w:before="30" w:after="30"/>
              <w:jc w:val="both"/>
              <w:rPr>
                <w:sz w:val="22"/>
                <w:szCs w:val="22"/>
                <w:lang w:val="ro-RO"/>
              </w:rPr>
            </w:pPr>
            <w:r w:rsidRPr="00D1049F">
              <w:rPr>
                <w:sz w:val="22"/>
                <w:szCs w:val="22"/>
                <w:lang w:val="ro-RO"/>
              </w:rPr>
              <w:t>Perioada de referință pentru FORPRO este anul calendaristic 2015.</w:t>
            </w:r>
          </w:p>
          <w:p w:rsidR="00A650F0" w:rsidRPr="00D1049F" w:rsidRDefault="00A650F0" w:rsidP="00A650F0">
            <w:pPr>
              <w:spacing w:before="30" w:after="30"/>
              <w:jc w:val="both"/>
              <w:rPr>
                <w:sz w:val="22"/>
                <w:szCs w:val="22"/>
                <w:lang w:val="ro-RO"/>
              </w:rPr>
            </w:pPr>
            <w:r w:rsidRPr="00D1049F">
              <w:rPr>
                <w:sz w:val="22"/>
                <w:szCs w:val="22"/>
                <w:lang w:val="ro-RO"/>
              </w:rPr>
              <w:t>Toate activităţile desfăşurate de INS, pe parcursul unui an, sunt stabilite cu câteva luni înainte prin Planul de Activitate al instituţiei. INS publică anual, pentru utilizatorii săi, un catalog al publicaţilor statistice care conţine denumirea, periodicitatea, o descriere sumară şi data apariţiei.</w:t>
            </w:r>
          </w:p>
          <w:p w:rsidR="00A650F0" w:rsidRPr="00D1049F" w:rsidRDefault="00A650F0" w:rsidP="00A650F0">
            <w:pPr>
              <w:spacing w:before="30" w:after="30"/>
              <w:jc w:val="both"/>
              <w:rPr>
                <w:sz w:val="22"/>
                <w:szCs w:val="22"/>
                <w:lang w:val="ro-RO"/>
              </w:rPr>
            </w:pPr>
            <w:r w:rsidRPr="00D1049F">
              <w:rPr>
                <w:sz w:val="22"/>
                <w:szCs w:val="22"/>
                <w:lang w:val="ro-RO"/>
              </w:rPr>
              <w:t>Perioada de pregătire, realizare și publicare a rezultatelor finale pentru FORPRO a durat aproximativ 24 de luni (din noiembrie 2015 până în noiembrie 2017).</w:t>
            </w:r>
          </w:p>
          <w:p w:rsidR="00832C90" w:rsidRPr="00D1049F" w:rsidRDefault="00A650F0" w:rsidP="00A650F0">
            <w:pPr>
              <w:spacing w:before="60"/>
              <w:jc w:val="both"/>
              <w:rPr>
                <w:rFonts w:ascii="Bookman Old Style" w:hAnsi="Bookman Old Style"/>
                <w:bCs/>
                <w:sz w:val="20"/>
                <w:szCs w:val="20"/>
                <w:lang w:val="ro-RO"/>
              </w:rPr>
            </w:pPr>
            <w:r w:rsidRPr="00D1049F">
              <w:rPr>
                <w:sz w:val="22"/>
                <w:szCs w:val="22"/>
                <w:lang w:val="ro-RO"/>
              </w:rPr>
              <w:t>Activităţile ce privesc proiectarea şi desfăşurarea propriu-zisă a Anchetei privind formarea profesională continuă în anul 2015 sunt detaliate în documentul ataşat 'Anexa_RO_FORPRO_Oportunitatea si punctualitatea_2015' (vezi anexele).</w:t>
            </w:r>
          </w:p>
        </w:tc>
      </w:tr>
      <w:tr w:rsidR="00832C90" w:rsidRPr="00A650F0" w:rsidTr="00263739">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D1049F" w:rsidRDefault="00A650F0">
            <w:pPr>
              <w:rPr>
                <w:rFonts w:ascii="Bookman Old Style" w:hAnsi="Bookman Old Style"/>
                <w:b/>
                <w:bCs/>
                <w:sz w:val="20"/>
                <w:szCs w:val="20"/>
                <w:lang w:val="ro-RO"/>
              </w:rPr>
            </w:pPr>
            <w:bookmarkStart w:id="50" w:name="timelag_first"/>
            <w:bookmarkEnd w:id="50"/>
            <w:r w:rsidRPr="00D1049F">
              <w:rPr>
                <w:b/>
                <w:bCs/>
                <w:sz w:val="22"/>
                <w:szCs w:val="22"/>
                <w:lang w:val="ro-RO"/>
              </w:rPr>
              <w:t>7.1.1. Decalajul de timp – primele rezultate obţinute</w:t>
            </w:r>
          </w:p>
        </w:tc>
      </w:tr>
      <w:tr w:rsidR="00A650F0" w:rsidRPr="00A650F0" w:rsidTr="00263739">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A650F0" w:rsidRPr="00D1049F" w:rsidRDefault="00A650F0" w:rsidP="00A650F0">
            <w:pPr>
              <w:spacing w:before="30" w:after="30"/>
              <w:rPr>
                <w:spacing w:val="-2"/>
                <w:sz w:val="22"/>
                <w:szCs w:val="22"/>
                <w:lang w:val="ro-RO"/>
              </w:rPr>
            </w:pPr>
            <w:r w:rsidRPr="00D1049F">
              <w:rPr>
                <w:spacing w:val="-2"/>
                <w:sz w:val="22"/>
                <w:szCs w:val="22"/>
                <w:lang w:val="ro-RO"/>
              </w:rPr>
              <w:t>Transmiterea primelor rezultate ale Anchetei privind formarea profesională continuă în anul 2015: 28.06.2017</w:t>
            </w:r>
          </w:p>
        </w:tc>
      </w:tr>
      <w:tr w:rsidR="00832C90" w:rsidRPr="00A650F0" w:rsidTr="00263739">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D1049F" w:rsidRDefault="00A650F0">
            <w:pPr>
              <w:rPr>
                <w:rFonts w:ascii="Bookman Old Style" w:hAnsi="Bookman Old Style"/>
                <w:b/>
                <w:bCs/>
                <w:sz w:val="20"/>
                <w:szCs w:val="20"/>
                <w:lang w:val="ro-RO"/>
              </w:rPr>
            </w:pPr>
            <w:bookmarkStart w:id="51" w:name="timelag_final"/>
            <w:bookmarkEnd w:id="51"/>
            <w:r w:rsidRPr="00D1049F">
              <w:rPr>
                <w:b/>
                <w:bCs/>
                <w:sz w:val="22"/>
                <w:szCs w:val="22"/>
                <w:lang w:val="ro-RO"/>
              </w:rPr>
              <w:t>7.1.2. Decalajul de timp –rezultate finale</w:t>
            </w:r>
          </w:p>
        </w:tc>
      </w:tr>
      <w:tr w:rsidR="00832C90" w:rsidRPr="00A650F0" w:rsidTr="00263739">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D1049F" w:rsidRDefault="00A650F0" w:rsidP="003B03F9">
            <w:pPr>
              <w:spacing w:before="60"/>
              <w:jc w:val="both"/>
              <w:rPr>
                <w:rFonts w:ascii="Bookman Old Style" w:hAnsi="Bookman Old Style"/>
                <w:b/>
                <w:bCs/>
                <w:spacing w:val="-2"/>
                <w:sz w:val="20"/>
                <w:szCs w:val="20"/>
                <w:lang w:val="ro-RO"/>
              </w:rPr>
            </w:pPr>
            <w:r w:rsidRPr="00D1049F">
              <w:rPr>
                <w:spacing w:val="-2"/>
                <w:sz w:val="22"/>
                <w:szCs w:val="22"/>
                <w:lang w:val="ro-RO"/>
              </w:rPr>
              <w:t>Transmiterea rezultatelor finale ale Anchetei privind formarea profesională continuă în anul 2015: 30.06.2017</w:t>
            </w:r>
          </w:p>
        </w:tc>
      </w:tr>
      <w:tr w:rsidR="00832C90" w:rsidRPr="00A650F0" w:rsidTr="00263739">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D1049F" w:rsidRDefault="00D1049F" w:rsidP="0033501F">
            <w:pPr>
              <w:rPr>
                <w:rFonts w:ascii="Bookman Old Style" w:hAnsi="Bookman Old Style"/>
                <w:b/>
                <w:bCs/>
                <w:sz w:val="20"/>
                <w:szCs w:val="20"/>
                <w:lang w:val="ro-RO"/>
              </w:rPr>
            </w:pPr>
            <w:bookmarkStart w:id="52" w:name="punctuality"/>
            <w:bookmarkEnd w:id="52"/>
            <w:r w:rsidRPr="00D1049F">
              <w:rPr>
                <w:b/>
                <w:bCs/>
                <w:sz w:val="22"/>
                <w:szCs w:val="22"/>
                <w:lang w:val="ro-RO"/>
              </w:rPr>
              <w:t>7.2. Punctualitatea</w:t>
            </w:r>
          </w:p>
        </w:tc>
      </w:tr>
      <w:tr w:rsidR="00832C90" w:rsidRPr="00A650F0" w:rsidTr="00263739">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1049F" w:rsidRPr="00D1049F" w:rsidRDefault="00D1049F" w:rsidP="00D1049F">
            <w:pPr>
              <w:spacing w:before="30" w:after="30"/>
              <w:jc w:val="both"/>
              <w:rPr>
                <w:sz w:val="22"/>
                <w:szCs w:val="22"/>
                <w:lang w:val="ro-RO"/>
              </w:rPr>
            </w:pPr>
            <w:r w:rsidRPr="00D1049F">
              <w:rPr>
                <w:sz w:val="22"/>
                <w:szCs w:val="22"/>
                <w:lang w:val="ro-RO"/>
              </w:rPr>
              <w:t xml:space="preserve">Perioada </w:t>
            </w:r>
            <w:r w:rsidRPr="00D1049F">
              <w:rPr>
                <w:b/>
                <w:sz w:val="22"/>
                <w:szCs w:val="22"/>
                <w:lang w:val="ro-RO"/>
              </w:rPr>
              <w:t>inițială de colectare a datelor</w:t>
            </w:r>
            <w:r w:rsidRPr="00D1049F">
              <w:rPr>
                <w:sz w:val="22"/>
                <w:szCs w:val="22"/>
                <w:lang w:val="ro-RO"/>
              </w:rPr>
              <w:t xml:space="preserve"> pentru Ancheta privind formarea profesională continuă în anul 2015 a durat două luni: din 18 martie până în 18 mai 2016.</w:t>
            </w:r>
          </w:p>
          <w:p w:rsidR="00D1049F" w:rsidRPr="00D1049F" w:rsidRDefault="00D1049F" w:rsidP="00D1049F">
            <w:pPr>
              <w:spacing w:before="30" w:after="30"/>
              <w:jc w:val="both"/>
              <w:rPr>
                <w:sz w:val="22"/>
                <w:szCs w:val="22"/>
                <w:lang w:val="ro-RO"/>
              </w:rPr>
            </w:pPr>
            <w:r w:rsidRPr="00D1049F">
              <w:rPr>
                <w:sz w:val="22"/>
                <w:szCs w:val="22"/>
                <w:lang w:val="ro-RO"/>
              </w:rPr>
              <w:t>Întrucât nu toate întreprinderile au respectat termenul solicitat, o mare parte din chestionare au fost primite cu întârziere de către direcțiile teritoriale de statistică. În plus, datorită recontactărilor necesare pentru informații suplimentare și corecții ale variabilelor completate de întreprinderi, s-au produs întârzieri în finalizarea completă a colectării datelor.</w:t>
            </w:r>
          </w:p>
          <w:p w:rsidR="00D1049F" w:rsidRPr="00D1049F" w:rsidRDefault="00D1049F" w:rsidP="00D1049F">
            <w:pPr>
              <w:spacing w:before="30" w:after="30"/>
              <w:jc w:val="both"/>
              <w:rPr>
                <w:sz w:val="22"/>
                <w:szCs w:val="22"/>
                <w:lang w:val="ro-RO"/>
              </w:rPr>
            </w:pPr>
            <w:r w:rsidRPr="00D1049F">
              <w:rPr>
                <w:sz w:val="22"/>
                <w:szCs w:val="22"/>
                <w:lang w:val="ro-RO"/>
              </w:rPr>
              <w:t>În același timp, activitățile legate de verificarea, validarea și corectarea datelor au fost efectuate la nivel local și central, până la 19.01.2017.</w:t>
            </w:r>
          </w:p>
          <w:p w:rsidR="00D1049F" w:rsidRPr="00D1049F" w:rsidRDefault="00D1049F" w:rsidP="00D1049F">
            <w:pPr>
              <w:spacing w:before="30" w:after="30"/>
              <w:jc w:val="both"/>
              <w:rPr>
                <w:sz w:val="22"/>
                <w:szCs w:val="22"/>
                <w:lang w:val="ro-RO"/>
              </w:rPr>
            </w:pPr>
            <w:r w:rsidRPr="00D1049F">
              <w:rPr>
                <w:sz w:val="22"/>
                <w:szCs w:val="22"/>
                <w:lang w:val="ro-RO"/>
              </w:rPr>
              <w:t>În ultimele luni ale desfășurării anchetei, activitățile s-au concentrat pe aplicarea procedurilor de ponderare a datelor, validării datelor extinse, tabelelor și analizelor finale.</w:t>
            </w:r>
          </w:p>
          <w:p w:rsidR="00832C90" w:rsidRPr="00D1049F" w:rsidRDefault="00D1049F" w:rsidP="00D1049F">
            <w:pPr>
              <w:spacing w:before="60"/>
              <w:jc w:val="both"/>
              <w:rPr>
                <w:rFonts w:ascii="Bookman Old Style" w:hAnsi="Bookman Old Style"/>
                <w:sz w:val="20"/>
                <w:szCs w:val="20"/>
                <w:highlight w:val="green"/>
                <w:lang w:val="ro-RO"/>
              </w:rPr>
            </w:pPr>
            <w:r w:rsidRPr="00D1049F">
              <w:rPr>
                <w:sz w:val="22"/>
                <w:szCs w:val="22"/>
                <w:lang w:val="ro-RO"/>
              </w:rPr>
              <w:t xml:space="preserve">Vezi </w:t>
            </w:r>
            <w:r w:rsidRPr="00D1049F">
              <w:rPr>
                <w:rStyle w:val="Emphasis"/>
                <w:b/>
                <w:bCs/>
                <w:sz w:val="22"/>
                <w:szCs w:val="22"/>
                <w:lang w:val="ro-RO"/>
              </w:rPr>
              <w:t>tabelul 7.2.</w:t>
            </w:r>
            <w:r w:rsidRPr="00D1049F">
              <w:rPr>
                <w:sz w:val="22"/>
                <w:szCs w:val="22"/>
                <w:lang w:val="ro-RO"/>
              </w:rPr>
              <w:t xml:space="preserve"> din anexă 'RO - tabelele ESQRS FORPRO 2015 (excel)'.</w:t>
            </w:r>
          </w:p>
        </w:tc>
      </w:tr>
      <w:tr w:rsidR="00832C90" w:rsidRPr="00A650F0" w:rsidTr="00263739">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D1049F" w:rsidRDefault="00D1049F" w:rsidP="0033501F">
            <w:pPr>
              <w:rPr>
                <w:rFonts w:ascii="Bookman Old Style" w:hAnsi="Bookman Old Style"/>
                <w:b/>
                <w:bCs/>
                <w:sz w:val="20"/>
                <w:szCs w:val="20"/>
                <w:lang w:val="ro-RO"/>
              </w:rPr>
            </w:pPr>
            <w:bookmarkStart w:id="53" w:name="punctuality_release"/>
            <w:bookmarkEnd w:id="53"/>
            <w:r w:rsidRPr="00D1049F">
              <w:rPr>
                <w:b/>
                <w:bCs/>
                <w:sz w:val="22"/>
                <w:szCs w:val="22"/>
                <w:lang w:val="ro-RO"/>
              </w:rPr>
              <w:t>7.2.1. Punctualitatea – furnizarea şi publicarea datelor</w:t>
            </w:r>
          </w:p>
        </w:tc>
      </w:tr>
      <w:tr w:rsidR="00832C90" w:rsidRPr="00A650F0" w:rsidTr="00263739">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D1049F" w:rsidRDefault="00D1049F" w:rsidP="00494A27">
            <w:pPr>
              <w:spacing w:before="60"/>
              <w:jc w:val="both"/>
              <w:rPr>
                <w:rFonts w:ascii="Bookman Old Style" w:hAnsi="Bookman Old Style"/>
                <w:b/>
                <w:bCs/>
                <w:sz w:val="20"/>
                <w:szCs w:val="20"/>
                <w:lang w:val="ro-RO"/>
              </w:rPr>
            </w:pPr>
            <w:r w:rsidRPr="00D1049F">
              <w:rPr>
                <w:sz w:val="22"/>
                <w:szCs w:val="22"/>
                <w:lang w:val="ro-RO"/>
              </w:rPr>
              <w:t>Nu s-au înregistrat întârzieri în transmiterea sau diseminarea datelor.</w:t>
            </w:r>
          </w:p>
        </w:tc>
      </w:tr>
    </w:tbl>
    <w:p w:rsidR="00832C90" w:rsidRPr="007D14B9" w:rsidRDefault="00832C90">
      <w:pPr>
        <w:pStyle w:val="doccommon1"/>
        <w:shd w:val="clear" w:color="auto" w:fill="FFFFFF"/>
        <w:rPr>
          <w:rFonts w:ascii="Bookman Old Style" w:hAnsi="Bookman Old Style"/>
          <w:sz w:val="20"/>
          <w:szCs w:val="20"/>
          <w:lang w:val="en-GB"/>
        </w:rPr>
      </w:pPr>
    </w:p>
    <w:tbl>
      <w:tblPr>
        <w:tblW w:w="4950" w:type="pct"/>
        <w:tblCellMar>
          <w:left w:w="0" w:type="dxa"/>
          <w:right w:w="0" w:type="dxa"/>
        </w:tblCellMar>
        <w:tblLook w:val="00A0" w:firstRow="1" w:lastRow="0" w:firstColumn="1" w:lastColumn="0" w:noHBand="0" w:noVBand="0"/>
      </w:tblPr>
      <w:tblGrid>
        <w:gridCol w:w="9797"/>
      </w:tblGrid>
      <w:tr w:rsidR="00832C90" w:rsidRPr="00A650F0">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6E66FB" w:rsidRDefault="00832C90" w:rsidP="00A449E4">
            <w:pPr>
              <w:rPr>
                <w:rFonts w:ascii="Bookman Old Style" w:hAnsi="Bookman Old Style"/>
                <w:b/>
                <w:bCs/>
                <w:lang w:val="ro-RO"/>
              </w:rPr>
            </w:pPr>
            <w:bookmarkStart w:id="54" w:name="coher_compar1502954759597"/>
            <w:bookmarkEnd w:id="54"/>
            <w:r w:rsidRPr="006E66FB">
              <w:rPr>
                <w:b/>
                <w:bCs/>
                <w:sz w:val="32"/>
                <w:szCs w:val="32"/>
                <w:lang w:val="ro-RO"/>
              </w:rPr>
              <w:t xml:space="preserve">8. </w:t>
            </w:r>
            <w:r w:rsidR="00A449E4" w:rsidRPr="006E66FB">
              <w:rPr>
                <w:b/>
                <w:bCs/>
                <w:sz w:val="32"/>
                <w:szCs w:val="32"/>
                <w:lang w:val="ro-RO"/>
              </w:rPr>
              <w:t>Coerenţa şi comparabilitatea</w:t>
            </w:r>
          </w:p>
        </w:tc>
      </w:tr>
      <w:tr w:rsidR="00832C90" w:rsidRPr="00A650F0" w:rsidTr="0033501F">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6FB" w:rsidRDefault="00893F89" w:rsidP="0033501F">
            <w:pPr>
              <w:jc w:val="both"/>
              <w:rPr>
                <w:rFonts w:ascii="Bookman Old Style" w:hAnsi="Bookman Old Style"/>
                <w:b/>
                <w:bCs/>
                <w:sz w:val="20"/>
                <w:szCs w:val="20"/>
                <w:lang w:val="ro-RO"/>
              </w:rPr>
            </w:pPr>
            <w:bookmarkStart w:id="55" w:name="compar_geo"/>
            <w:bookmarkEnd w:id="55"/>
            <w:r w:rsidRPr="006E66FB">
              <w:rPr>
                <w:b/>
                <w:bCs/>
                <w:sz w:val="22"/>
                <w:szCs w:val="22"/>
                <w:lang w:val="ro-RO"/>
              </w:rPr>
              <w:t>8.1. Comparabilitatea în spaţiu</w:t>
            </w:r>
          </w:p>
        </w:tc>
      </w:tr>
      <w:tr w:rsidR="00832C90" w:rsidRPr="00A650F0" w:rsidTr="0033501F">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93F89" w:rsidRPr="006E66FB" w:rsidRDefault="00893F89" w:rsidP="00893F89">
            <w:pPr>
              <w:spacing w:before="30" w:after="30"/>
              <w:jc w:val="both"/>
              <w:rPr>
                <w:sz w:val="22"/>
                <w:szCs w:val="22"/>
                <w:lang w:val="ro-RO"/>
              </w:rPr>
            </w:pPr>
            <w:r w:rsidRPr="006E66FB">
              <w:rPr>
                <w:sz w:val="22"/>
                <w:szCs w:val="22"/>
                <w:lang w:val="ro-RO"/>
              </w:rPr>
              <w:t xml:space="preserve">Nu există devieri între conceptele şi definiţiile naţionale şi cele Europene. Versiunea națională a chestionarului a fost concepută pe baza chestionarului principal al UE. </w:t>
            </w:r>
          </w:p>
          <w:p w:rsidR="00832C90" w:rsidRPr="006E66FB" w:rsidRDefault="00893F89" w:rsidP="00893F89">
            <w:pPr>
              <w:spacing w:before="60"/>
              <w:jc w:val="both"/>
              <w:rPr>
                <w:rStyle w:val="hidden"/>
                <w:rFonts w:ascii="Bookman Old Style" w:hAnsi="Bookman Old Style"/>
                <w:sz w:val="20"/>
                <w:szCs w:val="20"/>
                <w:lang w:val="ro-RO"/>
              </w:rPr>
            </w:pPr>
            <w:r w:rsidRPr="006E66FB">
              <w:rPr>
                <w:sz w:val="22"/>
                <w:szCs w:val="22"/>
                <w:lang w:val="ro-RO"/>
              </w:rPr>
              <w:t xml:space="preserve">Vezi </w:t>
            </w:r>
            <w:r w:rsidRPr="006E66FB">
              <w:rPr>
                <w:rStyle w:val="Emphasis"/>
                <w:b/>
                <w:bCs/>
                <w:sz w:val="22"/>
                <w:szCs w:val="22"/>
                <w:lang w:val="ro-RO"/>
              </w:rPr>
              <w:t>tabelul 8.1.</w:t>
            </w:r>
            <w:r w:rsidRPr="006E66FB">
              <w:rPr>
                <w:sz w:val="22"/>
                <w:szCs w:val="22"/>
                <w:lang w:val="ro-RO"/>
              </w:rPr>
              <w:t> din anexă 'RO - tabelele ESQRS FORPRO 2015 (excel)'.</w:t>
            </w:r>
          </w:p>
        </w:tc>
      </w:tr>
      <w:tr w:rsidR="00832C90" w:rsidRPr="00A650F0" w:rsidTr="0033501F">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6E66FB" w:rsidRDefault="00893F89" w:rsidP="0033501F">
            <w:pPr>
              <w:jc w:val="both"/>
              <w:rPr>
                <w:rFonts w:ascii="Bookman Old Style" w:hAnsi="Bookman Old Style"/>
                <w:b/>
                <w:bCs/>
                <w:sz w:val="20"/>
                <w:szCs w:val="20"/>
                <w:lang w:val="ro-RO"/>
              </w:rPr>
            </w:pPr>
            <w:bookmarkStart w:id="56" w:name="asymmetry_coeff"/>
            <w:bookmarkEnd w:id="56"/>
            <w:r w:rsidRPr="006E66FB">
              <w:rPr>
                <w:b/>
                <w:bCs/>
                <w:sz w:val="22"/>
                <w:szCs w:val="22"/>
                <w:lang w:val="ro-RO"/>
              </w:rPr>
              <w:t>8.1.1. Asimetria pentru statisticile de flux în oglindă - coeficientul</w:t>
            </w:r>
          </w:p>
        </w:tc>
      </w:tr>
      <w:tr w:rsidR="00832C90" w:rsidRPr="00A650F0" w:rsidTr="0033501F">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6E66FB" w:rsidRDefault="00893F89" w:rsidP="00494A27">
            <w:pPr>
              <w:spacing w:before="60"/>
              <w:jc w:val="both"/>
              <w:rPr>
                <w:rStyle w:val="hidden"/>
                <w:rFonts w:ascii="Bookman Old Style" w:hAnsi="Bookman Old Style"/>
                <w:sz w:val="20"/>
                <w:szCs w:val="20"/>
                <w:lang w:val="ro-RO"/>
              </w:rPr>
            </w:pPr>
            <w:r w:rsidRPr="006E66FB">
              <w:rPr>
                <w:sz w:val="22"/>
                <w:szCs w:val="22"/>
                <w:lang w:val="ro-RO"/>
              </w:rPr>
              <w:t>Nu se aplică.</w:t>
            </w:r>
          </w:p>
        </w:tc>
      </w:tr>
      <w:tr w:rsidR="00832C90" w:rsidRPr="00A650F0" w:rsidTr="00893F89">
        <w:tc>
          <w:tcPr>
            <w:tcW w:w="5000" w:type="pct"/>
            <w:tcBorders>
              <w:top w:val="single" w:sz="8" w:space="0" w:color="000000"/>
              <w:left w:val="single" w:sz="8" w:space="0" w:color="000000"/>
              <w:bottom w:val="single" w:sz="4" w:space="0" w:color="auto"/>
              <w:right w:val="single" w:sz="8" w:space="0" w:color="000000"/>
            </w:tcBorders>
            <w:shd w:val="clear" w:color="auto" w:fill="FFFFCC"/>
            <w:tcMar>
              <w:top w:w="20" w:type="dxa"/>
              <w:left w:w="129" w:type="dxa"/>
              <w:bottom w:w="20" w:type="dxa"/>
              <w:right w:w="129" w:type="dxa"/>
            </w:tcMar>
          </w:tcPr>
          <w:p w:rsidR="00832C90" w:rsidRPr="006E66FB" w:rsidRDefault="00893F89" w:rsidP="0033501F">
            <w:pPr>
              <w:jc w:val="both"/>
              <w:rPr>
                <w:rFonts w:ascii="Bookman Old Style" w:hAnsi="Bookman Old Style"/>
                <w:b/>
                <w:bCs/>
                <w:sz w:val="20"/>
                <w:szCs w:val="20"/>
                <w:lang w:val="ro-RO"/>
              </w:rPr>
            </w:pPr>
            <w:bookmarkStart w:id="57" w:name="compar_time"/>
            <w:bookmarkEnd w:id="57"/>
            <w:r w:rsidRPr="006E66FB">
              <w:rPr>
                <w:b/>
                <w:bCs/>
                <w:sz w:val="22"/>
                <w:szCs w:val="22"/>
                <w:lang w:val="ro-RO"/>
              </w:rPr>
              <w:t>8.2. Comparabilitatea în timp</w:t>
            </w:r>
          </w:p>
        </w:tc>
      </w:tr>
      <w:tr w:rsidR="00832C90" w:rsidRPr="00A650F0" w:rsidTr="00E941A0">
        <w:tblPrEx>
          <w:tblCellMar>
            <w:left w:w="108" w:type="dxa"/>
            <w:right w:w="108" w:type="dxa"/>
          </w:tblCellMar>
        </w:tblPrEx>
        <w:trPr>
          <w:trHeight w:val="615"/>
        </w:trPr>
        <w:tc>
          <w:tcPr>
            <w:tcW w:w="5000" w:type="pct"/>
            <w:tcBorders>
              <w:top w:val="single" w:sz="4" w:space="0" w:color="auto"/>
              <w:left w:val="single" w:sz="4" w:space="0" w:color="auto"/>
              <w:bottom w:val="single" w:sz="4" w:space="0" w:color="auto"/>
              <w:right w:val="single" w:sz="4" w:space="0" w:color="auto"/>
            </w:tcBorders>
          </w:tcPr>
          <w:p w:rsidR="00893F89" w:rsidRDefault="00893F89" w:rsidP="00893F89">
            <w:pPr>
              <w:spacing w:before="60"/>
              <w:jc w:val="both"/>
              <w:rPr>
                <w:sz w:val="22"/>
                <w:szCs w:val="22"/>
                <w:lang w:val="ro-RO"/>
              </w:rPr>
            </w:pPr>
            <w:r w:rsidRPr="006E66FB">
              <w:rPr>
                <w:sz w:val="22"/>
                <w:szCs w:val="22"/>
                <w:lang w:val="ro-RO"/>
              </w:rPr>
              <w:t xml:space="preserve">Datele Anchetei privind formarea profesională continuă sunt comparabile în timp. </w:t>
            </w:r>
          </w:p>
          <w:p w:rsidR="00832C90" w:rsidRPr="006E66FB" w:rsidRDefault="00893F89" w:rsidP="00893F89">
            <w:pPr>
              <w:spacing w:before="60"/>
              <w:jc w:val="both"/>
              <w:rPr>
                <w:rFonts w:ascii="Bookman Old Style" w:hAnsi="Bookman Old Style"/>
                <w:sz w:val="20"/>
                <w:szCs w:val="20"/>
                <w:lang w:val="ro-RO"/>
              </w:rPr>
            </w:pPr>
            <w:r w:rsidRPr="006E66FB">
              <w:rPr>
                <w:sz w:val="22"/>
                <w:szCs w:val="22"/>
                <w:lang w:val="ro-RO"/>
              </w:rPr>
              <w:t xml:space="preserve">Vezi </w:t>
            </w:r>
            <w:r w:rsidRPr="006E66FB">
              <w:rPr>
                <w:rStyle w:val="Emphasis"/>
                <w:b/>
                <w:bCs/>
                <w:sz w:val="22"/>
                <w:szCs w:val="22"/>
                <w:lang w:val="ro-RO"/>
              </w:rPr>
              <w:t>tabelul 8.2.</w:t>
            </w:r>
            <w:r w:rsidRPr="006E66FB">
              <w:rPr>
                <w:sz w:val="22"/>
                <w:szCs w:val="22"/>
                <w:lang w:val="ro-RO"/>
              </w:rPr>
              <w:t> din anexă 'RO - tabelele ESQRS FORPRO 2015 (excel)'.</w:t>
            </w:r>
          </w:p>
        </w:tc>
      </w:tr>
      <w:tr w:rsidR="00832C90" w:rsidRPr="00A650F0" w:rsidTr="00893F89">
        <w:tc>
          <w:tcPr>
            <w:tcW w:w="5000" w:type="pct"/>
            <w:tcBorders>
              <w:top w:val="single" w:sz="4" w:space="0" w:color="auto"/>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832C90" w:rsidRPr="006E66FB" w:rsidRDefault="006E66FB" w:rsidP="0033501F">
            <w:pPr>
              <w:jc w:val="both"/>
              <w:rPr>
                <w:rFonts w:ascii="Bookman Old Style" w:hAnsi="Bookman Old Style"/>
                <w:b/>
                <w:bCs/>
                <w:sz w:val="20"/>
                <w:szCs w:val="20"/>
                <w:lang w:val="ro-RO"/>
              </w:rPr>
            </w:pPr>
            <w:bookmarkStart w:id="58" w:name="compar_length"/>
            <w:bookmarkEnd w:id="58"/>
            <w:r w:rsidRPr="006E66FB">
              <w:rPr>
                <w:b/>
                <w:bCs/>
                <w:sz w:val="22"/>
                <w:szCs w:val="22"/>
                <w:lang w:val="ro-RO"/>
              </w:rPr>
              <w:lastRenderedPageBreak/>
              <w:t>8.2.1. Lungimea seriilor de timp comparabile</w:t>
            </w:r>
          </w:p>
        </w:tc>
      </w:tr>
      <w:tr w:rsidR="00832C90" w:rsidRPr="00A650F0" w:rsidTr="0033501F">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E73993" w:rsidRPr="006E66FB" w:rsidRDefault="006E66FB" w:rsidP="00221579">
            <w:pPr>
              <w:spacing w:before="60"/>
              <w:jc w:val="both"/>
              <w:rPr>
                <w:rFonts w:ascii="Bookman Old Style" w:hAnsi="Bookman Old Style"/>
                <w:b/>
                <w:bCs/>
                <w:sz w:val="20"/>
                <w:szCs w:val="20"/>
                <w:lang w:val="ro-RO"/>
              </w:rPr>
            </w:pPr>
            <w:r w:rsidRPr="006E66FB">
              <w:rPr>
                <w:sz w:val="22"/>
                <w:szCs w:val="22"/>
                <w:lang w:val="ro-RO"/>
              </w:rPr>
              <w:t>Pentru principalii indicatori nu s-au înregistrat modificări semnificative în definițiile, sfera de acoperire sau clasificările utilizate la ancheta anterioară. Îmbunătățirile aduse FORPRO 2015 comparativ cu ancheta precedentă se referă doar la notele metodologice mai detaliate care însoțesc chestionarul.</w:t>
            </w:r>
          </w:p>
        </w:tc>
      </w:tr>
      <w:tr w:rsidR="00832C90" w:rsidRPr="00A650F0" w:rsidTr="0033501F">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6FB" w:rsidRDefault="006E66FB" w:rsidP="0033501F">
            <w:pPr>
              <w:jc w:val="both"/>
              <w:rPr>
                <w:rFonts w:ascii="Bookman Old Style" w:hAnsi="Bookman Old Style"/>
                <w:b/>
                <w:bCs/>
                <w:sz w:val="20"/>
                <w:szCs w:val="20"/>
                <w:lang w:val="ro-RO"/>
              </w:rPr>
            </w:pPr>
            <w:bookmarkStart w:id="59" w:name="coher_x_dom"/>
            <w:bookmarkEnd w:id="59"/>
            <w:r w:rsidRPr="006E66FB">
              <w:rPr>
                <w:b/>
                <w:bCs/>
                <w:sz w:val="22"/>
                <w:szCs w:val="22"/>
                <w:lang w:val="ro-RO"/>
              </w:rPr>
              <w:t>8.3. Coerenţa între domenii</w:t>
            </w:r>
          </w:p>
        </w:tc>
      </w:tr>
      <w:tr w:rsidR="00832C90" w:rsidRPr="00A650F0" w:rsidTr="0033501F">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6E66FB" w:rsidRPr="006E66FB" w:rsidRDefault="006E66FB" w:rsidP="006E66FB">
            <w:pPr>
              <w:spacing w:before="30" w:after="30"/>
              <w:jc w:val="both"/>
              <w:rPr>
                <w:sz w:val="22"/>
                <w:szCs w:val="22"/>
                <w:lang w:val="ro-RO"/>
              </w:rPr>
            </w:pPr>
            <w:r w:rsidRPr="006E66FB">
              <w:rPr>
                <w:sz w:val="22"/>
                <w:szCs w:val="22"/>
                <w:lang w:val="ro-RO"/>
              </w:rPr>
              <w:t xml:space="preserve">Vezi </w:t>
            </w:r>
            <w:r w:rsidRPr="006E66FB">
              <w:rPr>
                <w:rStyle w:val="Emphasis"/>
                <w:b/>
                <w:bCs/>
                <w:sz w:val="22"/>
                <w:szCs w:val="22"/>
                <w:lang w:val="ro-RO"/>
              </w:rPr>
              <w:t>tabelul 8.3.</w:t>
            </w:r>
            <w:r w:rsidRPr="006E66FB">
              <w:rPr>
                <w:sz w:val="22"/>
                <w:szCs w:val="22"/>
                <w:lang w:val="ro-RO"/>
              </w:rPr>
              <w:t> din anexă 'RO - tabelele ESQRS FORPRO 2015 (excel)'.</w:t>
            </w:r>
          </w:p>
          <w:p w:rsidR="006E66FB" w:rsidRPr="006E66FB" w:rsidRDefault="006E66FB" w:rsidP="006E66FB">
            <w:pPr>
              <w:spacing w:before="30" w:after="30"/>
              <w:jc w:val="both"/>
              <w:rPr>
                <w:sz w:val="22"/>
                <w:szCs w:val="22"/>
                <w:lang w:val="ro-RO"/>
              </w:rPr>
            </w:pPr>
            <w:r w:rsidRPr="006E66FB">
              <w:rPr>
                <w:sz w:val="22"/>
                <w:szCs w:val="22"/>
                <w:lang w:val="ro-RO"/>
              </w:rPr>
              <w:t>Principalul motiv al diferențelor dintre cele două anchete este cauzat de definiția și perioada de referință pentru numărul de angajați:</w:t>
            </w:r>
          </w:p>
          <w:p w:rsidR="006E66FB" w:rsidRPr="006E66FB" w:rsidRDefault="006E66FB" w:rsidP="00902A9C">
            <w:pPr>
              <w:numPr>
                <w:ilvl w:val="0"/>
                <w:numId w:val="3"/>
              </w:numPr>
              <w:ind w:left="720" w:hanging="360"/>
              <w:rPr>
                <w:sz w:val="22"/>
                <w:szCs w:val="22"/>
                <w:lang w:val="ro-RO"/>
              </w:rPr>
            </w:pPr>
            <w:r w:rsidRPr="006E66FB">
              <w:rPr>
                <w:sz w:val="22"/>
                <w:szCs w:val="22"/>
                <w:lang w:val="ro-RO"/>
              </w:rPr>
              <w:t>în FORPRO indicatorul se referă la sfârșitul anului (31 decembrie 2015),</w:t>
            </w:r>
          </w:p>
          <w:p w:rsidR="00832C90" w:rsidRPr="006E66FB" w:rsidRDefault="006E66FB" w:rsidP="00902A9C">
            <w:pPr>
              <w:numPr>
                <w:ilvl w:val="0"/>
                <w:numId w:val="3"/>
              </w:numPr>
              <w:ind w:left="900" w:hanging="360"/>
              <w:rPr>
                <w:rFonts w:ascii="Bookman Old Style" w:hAnsi="Bookman Old Style"/>
                <w:sz w:val="20"/>
                <w:szCs w:val="20"/>
                <w:lang w:val="ro-RO"/>
              </w:rPr>
            </w:pPr>
            <w:r w:rsidRPr="006E66FB">
              <w:rPr>
                <w:sz w:val="22"/>
                <w:szCs w:val="22"/>
                <w:lang w:val="ro-RO"/>
              </w:rPr>
              <w:t>în SBS indicatorul se referă la media numărului de persoane angajate din fiecare lună a anului calendaristic 2015.</w:t>
            </w:r>
          </w:p>
        </w:tc>
      </w:tr>
      <w:tr w:rsidR="00832C90" w:rsidRPr="00A650F0" w:rsidTr="0033501F">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6FB" w:rsidRDefault="006E66FB" w:rsidP="0033501F">
            <w:pPr>
              <w:jc w:val="both"/>
              <w:rPr>
                <w:rFonts w:ascii="Bookman Old Style" w:hAnsi="Bookman Old Style"/>
                <w:b/>
                <w:bCs/>
                <w:sz w:val="20"/>
                <w:szCs w:val="20"/>
                <w:lang w:val="ro-RO"/>
              </w:rPr>
            </w:pPr>
            <w:bookmarkStart w:id="60" w:name="coher_freqstat"/>
            <w:bookmarkEnd w:id="60"/>
            <w:r w:rsidRPr="006E66FB">
              <w:rPr>
                <w:b/>
                <w:bCs/>
                <w:sz w:val="22"/>
                <w:szCs w:val="22"/>
                <w:lang w:val="ro-RO"/>
              </w:rPr>
              <w:t>8.4. Coerenţa între statisticile anuale şi infraanuale</w:t>
            </w:r>
          </w:p>
        </w:tc>
      </w:tr>
      <w:tr w:rsidR="00832C90" w:rsidRPr="00A650F0" w:rsidTr="00463AE4">
        <w:trPr>
          <w:trHeight w:val="227"/>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6E66FB" w:rsidRDefault="006E66FB" w:rsidP="00763DCA">
            <w:pPr>
              <w:spacing w:before="60"/>
              <w:jc w:val="both"/>
              <w:rPr>
                <w:rFonts w:ascii="Bookman Old Style" w:hAnsi="Bookman Old Style"/>
                <w:b/>
                <w:bCs/>
                <w:sz w:val="20"/>
                <w:szCs w:val="20"/>
                <w:lang w:val="ro-RO"/>
              </w:rPr>
            </w:pPr>
            <w:r w:rsidRPr="006E66FB">
              <w:rPr>
                <w:sz w:val="22"/>
                <w:szCs w:val="22"/>
                <w:lang w:val="ro-RO"/>
              </w:rPr>
              <w:t>Nu se aplică.</w:t>
            </w:r>
          </w:p>
        </w:tc>
      </w:tr>
      <w:tr w:rsidR="00832C90" w:rsidRPr="00A650F0" w:rsidTr="0033501F">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6FB" w:rsidRDefault="006E66FB" w:rsidP="0033501F">
            <w:pPr>
              <w:jc w:val="both"/>
              <w:rPr>
                <w:rFonts w:ascii="Bookman Old Style" w:hAnsi="Bookman Old Style"/>
                <w:b/>
                <w:bCs/>
                <w:sz w:val="20"/>
                <w:szCs w:val="20"/>
                <w:lang w:val="ro-RO"/>
              </w:rPr>
            </w:pPr>
            <w:bookmarkStart w:id="61" w:name="coher_nataccounts"/>
            <w:bookmarkEnd w:id="61"/>
            <w:r w:rsidRPr="006E66FB">
              <w:rPr>
                <w:b/>
                <w:bCs/>
                <w:sz w:val="22"/>
                <w:szCs w:val="22"/>
                <w:lang w:val="ro-RO"/>
              </w:rPr>
              <w:t>8.5. Coerenţa cu conturile naţionale</w:t>
            </w:r>
          </w:p>
        </w:tc>
      </w:tr>
      <w:tr w:rsidR="00832C90" w:rsidRPr="00A650F0" w:rsidTr="00463AE4">
        <w:trPr>
          <w:trHeight w:val="109"/>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6E66FB" w:rsidRDefault="006E66FB" w:rsidP="005B6809">
            <w:pPr>
              <w:spacing w:before="60"/>
              <w:jc w:val="both"/>
              <w:rPr>
                <w:rFonts w:ascii="Bookman Old Style" w:hAnsi="Bookman Old Style"/>
                <w:b/>
                <w:bCs/>
                <w:sz w:val="20"/>
                <w:szCs w:val="20"/>
                <w:lang w:val="ro-RO"/>
              </w:rPr>
            </w:pPr>
            <w:r w:rsidRPr="006E66FB">
              <w:rPr>
                <w:sz w:val="22"/>
                <w:szCs w:val="22"/>
                <w:lang w:val="ro-RO"/>
              </w:rPr>
              <w:t>Nu se aplică.</w:t>
            </w:r>
          </w:p>
        </w:tc>
      </w:tr>
      <w:tr w:rsidR="00832C90" w:rsidRPr="00A650F0" w:rsidTr="0033501F">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6FB" w:rsidRDefault="006E66FB" w:rsidP="0033501F">
            <w:pPr>
              <w:jc w:val="both"/>
              <w:rPr>
                <w:rFonts w:ascii="Bookman Old Style" w:hAnsi="Bookman Old Style"/>
                <w:b/>
                <w:bCs/>
                <w:sz w:val="20"/>
                <w:szCs w:val="20"/>
                <w:lang w:val="ro-RO"/>
              </w:rPr>
            </w:pPr>
            <w:bookmarkStart w:id="62" w:name="coher_internal"/>
            <w:bookmarkEnd w:id="62"/>
            <w:r w:rsidRPr="006E66FB">
              <w:rPr>
                <w:b/>
                <w:bCs/>
                <w:sz w:val="22"/>
                <w:szCs w:val="22"/>
                <w:lang w:val="ro-RO"/>
              </w:rPr>
              <w:t>8.6. Coerenţa internă</w:t>
            </w:r>
          </w:p>
        </w:tc>
      </w:tr>
      <w:tr w:rsidR="00832C90" w:rsidRPr="00A650F0" w:rsidTr="0033501F">
        <w:trPr>
          <w:trHeight w:val="167"/>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121A31" w:rsidRPr="006E66FB" w:rsidRDefault="006E66FB" w:rsidP="005B6809">
            <w:pPr>
              <w:spacing w:before="60"/>
              <w:jc w:val="both"/>
              <w:rPr>
                <w:rStyle w:val="hidden"/>
                <w:rFonts w:ascii="Bookman Old Style" w:hAnsi="Bookman Old Style"/>
                <w:sz w:val="20"/>
                <w:szCs w:val="20"/>
                <w:lang w:val="ro-RO"/>
              </w:rPr>
            </w:pPr>
            <w:r w:rsidRPr="006E66FB">
              <w:rPr>
                <w:sz w:val="22"/>
                <w:szCs w:val="22"/>
                <w:lang w:val="ro-RO"/>
              </w:rPr>
              <w:t>Nu se solicită conform Regulamentului Comisiei nr. 1153/2014 de modificare a Regulamentului (CE) nr. 198/2006 în ceea ce privește datele care trebuie colectate și cerințele referitoare la eșantionare, precizie și calitate.</w:t>
            </w:r>
          </w:p>
        </w:tc>
      </w:tr>
    </w:tbl>
    <w:p w:rsidR="00832C90" w:rsidRPr="00A650F0" w:rsidRDefault="00832C90" w:rsidP="006A48FA">
      <w:pPr>
        <w:pStyle w:val="doccommon1"/>
        <w:shd w:val="clear" w:color="auto" w:fill="FFFFFF"/>
        <w:rPr>
          <w:rFonts w:ascii="Bookman Old Style" w:hAnsi="Bookman Old Style"/>
          <w:sz w:val="20"/>
          <w:szCs w:val="20"/>
          <w:lang w:val="ro-RO"/>
        </w:rPr>
      </w:pPr>
    </w:p>
    <w:tbl>
      <w:tblPr>
        <w:tblW w:w="4976" w:type="pct"/>
        <w:tblCellMar>
          <w:left w:w="0" w:type="dxa"/>
          <w:right w:w="0" w:type="dxa"/>
        </w:tblCellMar>
        <w:tblLook w:val="00A0" w:firstRow="1" w:lastRow="0" w:firstColumn="1" w:lastColumn="0" w:noHBand="0" w:noVBand="0"/>
      </w:tblPr>
      <w:tblGrid>
        <w:gridCol w:w="9848"/>
      </w:tblGrid>
      <w:tr w:rsidR="00832C90"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6E6EE0" w:rsidRDefault="00832C90" w:rsidP="000A77E7">
            <w:pPr>
              <w:rPr>
                <w:rFonts w:ascii="Bookman Old Style" w:hAnsi="Bookman Old Style"/>
                <w:b/>
                <w:bCs/>
                <w:lang w:val="ro-RO"/>
              </w:rPr>
            </w:pPr>
            <w:bookmarkStart w:id="63" w:name="accessibility_clarity1502954759597"/>
            <w:bookmarkEnd w:id="63"/>
            <w:r w:rsidRPr="006E6EE0">
              <w:rPr>
                <w:b/>
                <w:bCs/>
                <w:sz w:val="32"/>
                <w:szCs w:val="32"/>
                <w:lang w:val="ro-RO"/>
              </w:rPr>
              <w:t xml:space="preserve">9. </w:t>
            </w:r>
            <w:r w:rsidR="00716787" w:rsidRPr="006E6EE0">
              <w:rPr>
                <w:b/>
                <w:bCs/>
                <w:sz w:val="32"/>
                <w:szCs w:val="32"/>
                <w:lang w:val="ro-RO"/>
              </w:rPr>
              <w:t>Accesibilitatea şi claritatea</w:t>
            </w:r>
          </w:p>
        </w:tc>
      </w:tr>
      <w:tr w:rsidR="00832C90"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EE0" w:rsidRDefault="00716787" w:rsidP="000A77E7">
            <w:pPr>
              <w:jc w:val="both"/>
              <w:rPr>
                <w:rFonts w:ascii="Bookman Old Style" w:hAnsi="Bookman Old Style"/>
                <w:b/>
                <w:bCs/>
                <w:sz w:val="20"/>
                <w:szCs w:val="20"/>
                <w:lang w:val="ro-RO"/>
              </w:rPr>
            </w:pPr>
            <w:bookmarkStart w:id="64" w:name="news_rel"/>
            <w:bookmarkEnd w:id="64"/>
            <w:r w:rsidRPr="006E6EE0">
              <w:rPr>
                <w:b/>
                <w:bCs/>
                <w:sz w:val="22"/>
                <w:szCs w:val="22"/>
                <w:lang w:val="ro-RO"/>
              </w:rPr>
              <w:t>9.1. Formatul de diseminare a datelor – comunicat de presă</w:t>
            </w:r>
          </w:p>
        </w:tc>
      </w:tr>
      <w:tr w:rsidR="00832C90" w:rsidRPr="00A650F0"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16787" w:rsidRPr="006E6EE0" w:rsidRDefault="00716787" w:rsidP="00716787">
            <w:pPr>
              <w:spacing w:before="30" w:after="30"/>
              <w:jc w:val="both"/>
              <w:rPr>
                <w:sz w:val="22"/>
                <w:szCs w:val="22"/>
                <w:lang w:val="ro-RO"/>
              </w:rPr>
            </w:pPr>
            <w:r w:rsidRPr="006E6EE0">
              <w:rPr>
                <w:sz w:val="22"/>
                <w:szCs w:val="22"/>
                <w:lang w:val="ro-RO"/>
              </w:rPr>
              <w:t xml:space="preserve">Datele Anchetei privind formarea profesională continuă în anul 2015 sunt diseminate prin intermediul unui </w:t>
            </w:r>
            <w:r w:rsidRPr="006E6EE0">
              <w:rPr>
                <w:b/>
                <w:sz w:val="22"/>
                <w:szCs w:val="22"/>
                <w:lang w:val="ro-RO"/>
              </w:rPr>
              <w:t>comunicat de presă</w:t>
            </w:r>
            <w:r w:rsidRPr="006E6EE0">
              <w:rPr>
                <w:sz w:val="22"/>
                <w:szCs w:val="22"/>
                <w:lang w:val="ro-RO"/>
              </w:rPr>
              <w:t>, care conţine analiza principalelor rezultate precum şi notele metodologice.</w:t>
            </w:r>
          </w:p>
          <w:p w:rsidR="00716787" w:rsidRPr="006E6EE0" w:rsidRDefault="00716787" w:rsidP="00716787">
            <w:pPr>
              <w:spacing w:before="30" w:after="30"/>
              <w:jc w:val="both"/>
              <w:rPr>
                <w:sz w:val="22"/>
                <w:szCs w:val="22"/>
                <w:lang w:val="ro-RO"/>
              </w:rPr>
            </w:pPr>
            <w:r w:rsidRPr="006E6EE0">
              <w:rPr>
                <w:sz w:val="22"/>
                <w:szCs w:val="22"/>
                <w:lang w:val="ro-RO"/>
              </w:rPr>
              <w:t>Comunicatul de presă este disponibil pe site-ul INS (în limba română şi în limba engleză) pentru toţi utilizatorii interesaţi:</w:t>
            </w:r>
          </w:p>
          <w:p w:rsidR="00716787" w:rsidRPr="006E6EE0" w:rsidRDefault="00EB4CD5" w:rsidP="00716787">
            <w:pPr>
              <w:spacing w:before="60"/>
              <w:jc w:val="both"/>
              <w:rPr>
                <w:color w:val="0F4BA0"/>
                <w:sz w:val="22"/>
                <w:szCs w:val="22"/>
                <w:u w:val="single"/>
                <w:lang w:val="ro-RO"/>
              </w:rPr>
            </w:pPr>
            <w:hyperlink r:id="rId29" w:history="1">
              <w:r w:rsidR="00716787" w:rsidRPr="006E6EE0">
                <w:rPr>
                  <w:color w:val="0F4BA0"/>
                  <w:sz w:val="22"/>
                  <w:szCs w:val="22"/>
                  <w:u w:val="single"/>
                  <w:lang w:val="ro-RO"/>
                </w:rPr>
                <w:t>http://www.insse.ro/cms/en/content/characteristics-vocational-training-romanian-enterprises-2015-0</w:t>
              </w:r>
            </w:hyperlink>
          </w:p>
        </w:tc>
      </w:tr>
      <w:tr w:rsidR="00832C90"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EE0" w:rsidRDefault="00716787" w:rsidP="000A77E7">
            <w:pPr>
              <w:jc w:val="both"/>
              <w:rPr>
                <w:rFonts w:ascii="Bookman Old Style" w:hAnsi="Bookman Old Style"/>
                <w:b/>
                <w:bCs/>
                <w:sz w:val="20"/>
                <w:szCs w:val="20"/>
                <w:lang w:val="ro-RO"/>
              </w:rPr>
            </w:pPr>
            <w:bookmarkStart w:id="65" w:name="publications"/>
            <w:bookmarkEnd w:id="65"/>
            <w:r w:rsidRPr="006E6EE0">
              <w:rPr>
                <w:b/>
                <w:bCs/>
                <w:sz w:val="22"/>
                <w:szCs w:val="22"/>
                <w:lang w:val="ro-RO"/>
              </w:rPr>
              <w:t>9.2. Formatul de diseminare a datelor – publicaţii</w:t>
            </w:r>
          </w:p>
        </w:tc>
      </w:tr>
      <w:tr w:rsidR="00716787" w:rsidRPr="00A650F0"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716787" w:rsidRPr="006E6EE0" w:rsidRDefault="00716787" w:rsidP="00716787">
            <w:pPr>
              <w:spacing w:before="30" w:after="30"/>
              <w:jc w:val="both"/>
              <w:rPr>
                <w:sz w:val="22"/>
                <w:szCs w:val="22"/>
                <w:lang w:val="ro-RO"/>
              </w:rPr>
            </w:pPr>
            <w:r w:rsidRPr="006E6EE0">
              <w:rPr>
                <w:sz w:val="22"/>
                <w:szCs w:val="22"/>
                <w:lang w:val="ro-RO"/>
              </w:rPr>
              <w:t>Pe baza rezultatelor Anchetei privind formarea profesională în întreprinderi (FORPRO 2015), o publicaţie detaliată (disponibilă în limba română) este realizată şi diseminată principalilor utilizatori:</w:t>
            </w:r>
          </w:p>
          <w:p w:rsidR="00716787" w:rsidRPr="006E6EE0" w:rsidRDefault="00716787" w:rsidP="00902A9C">
            <w:pPr>
              <w:numPr>
                <w:ilvl w:val="0"/>
                <w:numId w:val="18"/>
              </w:numPr>
              <w:ind w:left="950"/>
              <w:jc w:val="both"/>
              <w:rPr>
                <w:sz w:val="22"/>
                <w:szCs w:val="22"/>
                <w:lang w:val="ro-RO"/>
              </w:rPr>
            </w:pPr>
            <w:r w:rsidRPr="006E6EE0">
              <w:rPr>
                <w:sz w:val="22"/>
                <w:szCs w:val="22"/>
                <w:lang w:val="ro-RO"/>
              </w:rPr>
              <w:t>Administraţia Prezidenţială a României;</w:t>
            </w:r>
          </w:p>
          <w:p w:rsidR="00716787" w:rsidRPr="006E6EE0" w:rsidRDefault="00716787" w:rsidP="00902A9C">
            <w:pPr>
              <w:numPr>
                <w:ilvl w:val="0"/>
                <w:numId w:val="18"/>
              </w:numPr>
              <w:ind w:left="950"/>
              <w:jc w:val="both"/>
              <w:rPr>
                <w:sz w:val="22"/>
                <w:szCs w:val="22"/>
                <w:lang w:val="ro-RO"/>
              </w:rPr>
            </w:pPr>
            <w:r w:rsidRPr="006E6EE0">
              <w:rPr>
                <w:sz w:val="22"/>
                <w:szCs w:val="22"/>
                <w:lang w:val="ro-RO"/>
              </w:rPr>
              <w:t>Parlamentul României (inclusiv câteva Comisii a căror activitate se concentrează asupra politicilor în domeniul pieţei muncii, educaţiei şi protecţiei sociale);</w:t>
            </w:r>
          </w:p>
          <w:p w:rsidR="00716787" w:rsidRPr="006E6EE0" w:rsidRDefault="00716787" w:rsidP="00902A9C">
            <w:pPr>
              <w:numPr>
                <w:ilvl w:val="0"/>
                <w:numId w:val="18"/>
              </w:numPr>
              <w:ind w:left="950"/>
              <w:jc w:val="both"/>
              <w:rPr>
                <w:sz w:val="22"/>
                <w:szCs w:val="22"/>
                <w:lang w:val="ro-RO"/>
              </w:rPr>
            </w:pPr>
            <w:r w:rsidRPr="006E6EE0">
              <w:rPr>
                <w:sz w:val="22"/>
                <w:szCs w:val="22"/>
                <w:lang w:val="ro-RO"/>
              </w:rPr>
              <w:t>organisme guvernamentale: Ministerul Muncii și Justiției Sociale, Ministerul Economiei, Ministerul Finanțelor Publice, Comisia Naţională de Prognoză, Agenţia Naţională pentru Ocuparea Forţei de Muncă, Ministerul Educației, Ministerul Culturii și Identității Naționale, Ministerul Afacerilor Externe, Autoritatea Națională pentru Calificări, Centrul Național de Dezvoltare a Învățământului Profesional și Tehnic și altele;</w:t>
            </w:r>
          </w:p>
          <w:p w:rsidR="00716787" w:rsidRPr="006E6EE0" w:rsidRDefault="00716787" w:rsidP="00902A9C">
            <w:pPr>
              <w:numPr>
                <w:ilvl w:val="0"/>
                <w:numId w:val="18"/>
              </w:numPr>
              <w:ind w:left="950"/>
              <w:rPr>
                <w:sz w:val="22"/>
                <w:szCs w:val="22"/>
                <w:lang w:val="ro-RO"/>
              </w:rPr>
            </w:pPr>
            <w:r w:rsidRPr="006E6EE0">
              <w:rPr>
                <w:sz w:val="22"/>
                <w:szCs w:val="22"/>
                <w:lang w:val="ro-RO"/>
              </w:rPr>
              <w:t>patroni şi asociaţii patronale;</w:t>
            </w:r>
          </w:p>
          <w:p w:rsidR="00716787" w:rsidRPr="006E6EE0" w:rsidRDefault="00716787" w:rsidP="00902A9C">
            <w:pPr>
              <w:numPr>
                <w:ilvl w:val="0"/>
                <w:numId w:val="18"/>
              </w:numPr>
              <w:ind w:left="950"/>
              <w:rPr>
                <w:sz w:val="22"/>
                <w:szCs w:val="22"/>
                <w:lang w:val="ro-RO"/>
              </w:rPr>
            </w:pPr>
            <w:r w:rsidRPr="006E6EE0">
              <w:rPr>
                <w:sz w:val="22"/>
                <w:szCs w:val="22"/>
                <w:lang w:val="ro-RO"/>
              </w:rPr>
              <w:t>sindicate;</w:t>
            </w:r>
          </w:p>
          <w:p w:rsidR="00716787" w:rsidRPr="006E6EE0" w:rsidRDefault="00716787" w:rsidP="00902A9C">
            <w:pPr>
              <w:numPr>
                <w:ilvl w:val="0"/>
                <w:numId w:val="18"/>
              </w:numPr>
              <w:ind w:left="950"/>
              <w:rPr>
                <w:sz w:val="22"/>
                <w:szCs w:val="22"/>
                <w:lang w:val="ro-RO"/>
              </w:rPr>
            </w:pPr>
            <w:r w:rsidRPr="006E6EE0">
              <w:rPr>
                <w:sz w:val="22"/>
                <w:szCs w:val="22"/>
                <w:lang w:val="ro-RO"/>
              </w:rPr>
              <w:t>asociaţii profesionale;</w:t>
            </w:r>
          </w:p>
          <w:p w:rsidR="00716787" w:rsidRPr="006E6EE0" w:rsidRDefault="00716787" w:rsidP="00902A9C">
            <w:pPr>
              <w:numPr>
                <w:ilvl w:val="0"/>
                <w:numId w:val="18"/>
              </w:numPr>
              <w:ind w:left="950"/>
              <w:jc w:val="both"/>
              <w:rPr>
                <w:sz w:val="22"/>
                <w:szCs w:val="22"/>
                <w:lang w:val="ro-RO"/>
              </w:rPr>
            </w:pPr>
            <w:r w:rsidRPr="006E6EE0">
              <w:rPr>
                <w:sz w:val="22"/>
                <w:szCs w:val="22"/>
                <w:lang w:val="ro-RO"/>
              </w:rPr>
              <w:t>institute de cercetare şi universităţi: Institutul Naţional de Cercetări Economice, Institutul Național de Cercetare Ştiințifică în Domeniul Muncii şi Protecției Sociale, Institutul de Științe ale Educației, Institutul de Cercetare a Calității Vieţii, Academia Română, Academia de Studii Economice și altele.</w:t>
            </w:r>
          </w:p>
          <w:p w:rsidR="00716787" w:rsidRPr="006E6EE0" w:rsidRDefault="00716787" w:rsidP="00716787">
            <w:pPr>
              <w:spacing w:before="30" w:after="30"/>
              <w:jc w:val="both"/>
              <w:rPr>
                <w:sz w:val="22"/>
                <w:szCs w:val="22"/>
                <w:lang w:val="ro-RO"/>
              </w:rPr>
            </w:pPr>
            <w:r w:rsidRPr="006E6EE0">
              <w:rPr>
                <w:sz w:val="22"/>
                <w:szCs w:val="22"/>
                <w:lang w:val="ro-RO"/>
              </w:rPr>
              <w:t>Publicaţia este intitulată “</w:t>
            </w:r>
            <w:r w:rsidRPr="006E6EE0">
              <w:rPr>
                <w:b/>
                <w:sz w:val="22"/>
                <w:szCs w:val="22"/>
                <w:lang w:val="ro-RO"/>
              </w:rPr>
              <w:t>Caracteristici ale formării profesionale în întreprinderile din România în anul 2015</w:t>
            </w:r>
            <w:r w:rsidRPr="006E6EE0">
              <w:rPr>
                <w:sz w:val="22"/>
                <w:szCs w:val="22"/>
                <w:lang w:val="ro-RO"/>
              </w:rPr>
              <w:t>” şi conţine următoarele capitole:</w:t>
            </w:r>
          </w:p>
          <w:p w:rsidR="00716787" w:rsidRPr="006E6EE0" w:rsidRDefault="00716787" w:rsidP="00902A9C">
            <w:pPr>
              <w:numPr>
                <w:ilvl w:val="0"/>
                <w:numId w:val="19"/>
              </w:numPr>
              <w:ind w:left="950"/>
              <w:jc w:val="both"/>
              <w:rPr>
                <w:rStyle w:val="Strong"/>
                <w:sz w:val="22"/>
                <w:szCs w:val="22"/>
                <w:lang w:val="ro-RO"/>
              </w:rPr>
            </w:pPr>
            <w:r w:rsidRPr="006E6EE0">
              <w:rPr>
                <w:rStyle w:val="Strong"/>
                <w:sz w:val="22"/>
                <w:szCs w:val="22"/>
                <w:lang w:val="ro-RO"/>
              </w:rPr>
              <w:t xml:space="preserve">Metodologia şi organizarea anchetei: </w:t>
            </w:r>
            <w:r w:rsidRPr="006E6EE0">
              <w:rPr>
                <w:rStyle w:val="Strong"/>
                <w:b w:val="0"/>
                <w:sz w:val="22"/>
                <w:szCs w:val="22"/>
                <w:lang w:val="ro-RO"/>
              </w:rPr>
              <w:t xml:space="preserve">prezintă informaţii privind obiectivele anchetei, sfera de </w:t>
            </w:r>
            <w:r w:rsidRPr="006E6EE0">
              <w:rPr>
                <w:rStyle w:val="Strong"/>
                <w:b w:val="0"/>
                <w:sz w:val="22"/>
                <w:szCs w:val="22"/>
                <w:lang w:val="ro-RO"/>
              </w:rPr>
              <w:lastRenderedPageBreak/>
              <w:t>cuprindere, unitatea de selecţie/observaţie, periodicitatea şi perioada de referinţă, planul de sondaj, conceptele şi definiţiile indicatorilor colectaţi şi derivaţi, clasificările utilizate;</w:t>
            </w:r>
          </w:p>
          <w:p w:rsidR="00716787" w:rsidRPr="006E6EE0" w:rsidRDefault="00716787" w:rsidP="00902A9C">
            <w:pPr>
              <w:numPr>
                <w:ilvl w:val="0"/>
                <w:numId w:val="19"/>
              </w:numPr>
              <w:ind w:left="950"/>
              <w:jc w:val="both"/>
              <w:rPr>
                <w:rStyle w:val="Strong"/>
                <w:b w:val="0"/>
                <w:sz w:val="22"/>
                <w:szCs w:val="22"/>
                <w:lang w:val="ro-RO"/>
              </w:rPr>
            </w:pPr>
            <w:r w:rsidRPr="006E6EE0">
              <w:rPr>
                <w:rStyle w:val="Strong"/>
                <w:sz w:val="22"/>
                <w:szCs w:val="22"/>
                <w:lang w:val="ro-RO"/>
              </w:rPr>
              <w:t>Analiza datelor:</w:t>
            </w:r>
            <w:r w:rsidRPr="006E6EE0">
              <w:rPr>
                <w:rStyle w:val="Strong"/>
                <w:b w:val="0"/>
                <w:sz w:val="22"/>
                <w:szCs w:val="22"/>
                <w:lang w:val="ro-RO"/>
              </w:rPr>
              <w:t xml:space="preserve"> conţine tabele, grafice şi analiza principalilor indicatori obţinuţi – numărul angajaţilor la sfârşitul anului 2015, costul forţei de muncă, ponderea întreprinderilor care furnizează FPC (cursuri, alte forme, ambele), numărul angajaţilor care au participat la cursurile de FPC, ratele de participare, timpul petrecut de angajaţi la cursurile de FPC, costurile cursurilor de FPC, ponderea întreprinderilor care furnizează FPI, ponderea întreprinderilor care nu furnizează FPC etc. - defalcate după diferite criterii;</w:t>
            </w:r>
          </w:p>
          <w:p w:rsidR="00716787" w:rsidRPr="006E6EE0" w:rsidRDefault="00716787" w:rsidP="00902A9C">
            <w:pPr>
              <w:numPr>
                <w:ilvl w:val="0"/>
                <w:numId w:val="19"/>
              </w:numPr>
              <w:ind w:left="950"/>
              <w:jc w:val="both"/>
              <w:rPr>
                <w:rStyle w:val="Strong"/>
                <w:b w:val="0"/>
                <w:sz w:val="22"/>
                <w:szCs w:val="22"/>
                <w:lang w:val="ro-RO"/>
              </w:rPr>
            </w:pPr>
            <w:r w:rsidRPr="006E6EE0">
              <w:rPr>
                <w:rStyle w:val="Strong"/>
                <w:sz w:val="22"/>
                <w:szCs w:val="22"/>
                <w:lang w:val="ro-RO"/>
              </w:rPr>
              <w:t xml:space="preserve">Tabelele cu rezultatele anchetei: </w:t>
            </w:r>
            <w:r w:rsidRPr="006E6EE0">
              <w:rPr>
                <w:rStyle w:val="Strong"/>
                <w:b w:val="0"/>
                <w:sz w:val="22"/>
                <w:szCs w:val="22"/>
                <w:lang w:val="ro-RO"/>
              </w:rPr>
              <w:t>conţine tabele detaliate (în format Excel) ale principalilor indicatori defalcaţi pe diverse variabile (în funcție de indicator): sex, activităţi economice, clase de mărime ale întreprinderilor.</w:t>
            </w:r>
          </w:p>
          <w:p w:rsidR="00716787" w:rsidRPr="006E6EE0" w:rsidRDefault="00716787" w:rsidP="00716787">
            <w:pPr>
              <w:spacing w:before="30" w:after="30"/>
              <w:jc w:val="both"/>
              <w:rPr>
                <w:sz w:val="22"/>
                <w:szCs w:val="22"/>
                <w:lang w:val="ro-RO"/>
              </w:rPr>
            </w:pPr>
            <w:r w:rsidRPr="006E6EE0">
              <w:rPr>
                <w:sz w:val="22"/>
                <w:szCs w:val="22"/>
                <w:lang w:val="ro-RO"/>
              </w:rPr>
              <w:t xml:space="preserve">Publicaţia este disponibilă în </w:t>
            </w:r>
            <w:r w:rsidRPr="006E6EE0">
              <w:rPr>
                <w:b/>
                <w:sz w:val="22"/>
                <w:szCs w:val="22"/>
                <w:lang w:val="ro-RO"/>
              </w:rPr>
              <w:t>formă tipărită</w:t>
            </w:r>
            <w:r w:rsidRPr="006E6EE0">
              <w:rPr>
                <w:sz w:val="22"/>
                <w:szCs w:val="22"/>
                <w:lang w:val="ro-RO"/>
              </w:rPr>
              <w:t xml:space="preserve"> sau </w:t>
            </w:r>
            <w:r w:rsidRPr="006E6EE0">
              <w:rPr>
                <w:b/>
                <w:sz w:val="22"/>
                <w:szCs w:val="22"/>
                <w:lang w:val="ro-RO"/>
              </w:rPr>
              <w:t>în format electronic (pe CD-ROM)</w:t>
            </w:r>
            <w:r w:rsidRPr="006E6EE0">
              <w:rPr>
                <w:sz w:val="22"/>
                <w:szCs w:val="22"/>
                <w:lang w:val="ro-RO"/>
              </w:rPr>
              <w:t xml:space="preserve"> și </w:t>
            </w:r>
            <w:r w:rsidRPr="006E6EE0">
              <w:rPr>
                <w:rStyle w:val="Strong"/>
                <w:sz w:val="22"/>
                <w:szCs w:val="22"/>
                <w:lang w:val="ro-RO"/>
              </w:rPr>
              <w:t>on line</w:t>
            </w:r>
            <w:r w:rsidRPr="006E6EE0">
              <w:rPr>
                <w:sz w:val="22"/>
                <w:szCs w:val="22"/>
                <w:lang w:val="ro-RO"/>
              </w:rPr>
              <w:t xml:space="preserve"> </w:t>
            </w:r>
            <w:hyperlink r:id="rId30" w:history="1">
              <w:r w:rsidRPr="006E6EE0">
                <w:rPr>
                  <w:color w:val="0F4BA0"/>
                  <w:sz w:val="22"/>
                  <w:szCs w:val="22"/>
                  <w:u w:val="single"/>
                  <w:lang w:val="ro-RO"/>
                </w:rPr>
                <w:t>http://www.insse.ro/cms/en/publicatii-statistice-in-format-electronic</w:t>
              </w:r>
            </w:hyperlink>
            <w:r w:rsidRPr="006E6EE0">
              <w:rPr>
                <w:sz w:val="22"/>
                <w:szCs w:val="22"/>
                <w:lang w:val="ro-RO"/>
              </w:rPr>
              <w:t>.</w:t>
            </w:r>
          </w:p>
          <w:p w:rsidR="00716787" w:rsidRPr="006E6EE0" w:rsidRDefault="00716787" w:rsidP="00716787">
            <w:pPr>
              <w:spacing w:before="30" w:after="30"/>
              <w:jc w:val="both"/>
              <w:rPr>
                <w:sz w:val="22"/>
                <w:szCs w:val="22"/>
                <w:lang w:val="ro-RO"/>
              </w:rPr>
            </w:pPr>
            <w:r w:rsidRPr="006E6EE0">
              <w:rPr>
                <w:sz w:val="22"/>
                <w:szCs w:val="22"/>
                <w:lang w:val="ro-RO"/>
              </w:rPr>
              <w:t>Este de asemenea disponibilă și la biblioteca INS.</w:t>
            </w:r>
          </w:p>
        </w:tc>
      </w:tr>
      <w:tr w:rsidR="00832C90"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6E6EE0" w:rsidRDefault="00D859DE" w:rsidP="000A77E7">
            <w:pPr>
              <w:jc w:val="both"/>
              <w:rPr>
                <w:rFonts w:ascii="Bookman Old Style" w:hAnsi="Bookman Old Style"/>
                <w:b/>
                <w:bCs/>
                <w:sz w:val="20"/>
                <w:szCs w:val="20"/>
                <w:lang w:val="ro-RO"/>
              </w:rPr>
            </w:pPr>
            <w:bookmarkStart w:id="66" w:name="online_db"/>
            <w:bookmarkEnd w:id="66"/>
            <w:r w:rsidRPr="006E6EE0">
              <w:rPr>
                <w:b/>
                <w:bCs/>
                <w:sz w:val="22"/>
                <w:szCs w:val="22"/>
                <w:lang w:val="ro-RO"/>
              </w:rPr>
              <w:lastRenderedPageBreak/>
              <w:t>9.3. Formatul de diseminare a datelor – baze de date on-line</w:t>
            </w:r>
          </w:p>
        </w:tc>
      </w:tr>
      <w:tr w:rsidR="00832C90" w:rsidRPr="00A650F0" w:rsidTr="000A77E7">
        <w:trPr>
          <w:trHeight w:val="134"/>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D859DE" w:rsidP="00D859DE">
            <w:pPr>
              <w:spacing w:before="30" w:after="30"/>
              <w:jc w:val="both"/>
              <w:rPr>
                <w:sz w:val="22"/>
                <w:szCs w:val="22"/>
                <w:lang w:val="ro-RO"/>
              </w:rPr>
            </w:pPr>
            <w:r w:rsidRPr="006E6EE0">
              <w:rPr>
                <w:sz w:val="22"/>
                <w:szCs w:val="22"/>
                <w:lang w:val="ro-RO"/>
              </w:rPr>
              <w:t>Rezultatele principale ale Anchetei privind formarea profesională în întreprinderi (FORPRO 2015) vor fi disponibile la începutul lunii noiembrie 2017 pe site-ul INS (www.insse.ro), prin intermediul bazei de date statistice on-line (TEMPO), în limbile română și engleză.</w:t>
            </w:r>
          </w:p>
          <w:p w:rsidR="00832C90" w:rsidRPr="006E6EE0" w:rsidRDefault="00D859DE" w:rsidP="00D859DE">
            <w:pPr>
              <w:pStyle w:val="Style16"/>
              <w:spacing w:before="60" w:line="240" w:lineRule="auto"/>
              <w:rPr>
                <w:rFonts w:ascii="Times New Roman" w:hAnsi="Times New Roman"/>
                <w:b/>
                <w:bCs/>
                <w:sz w:val="20"/>
                <w:szCs w:val="20"/>
                <w:lang w:val="ro-RO"/>
              </w:rPr>
            </w:pPr>
            <w:r w:rsidRPr="006E6EE0">
              <w:rPr>
                <w:rFonts w:ascii="Times New Roman" w:hAnsi="Times New Roman"/>
                <w:sz w:val="22"/>
                <w:szCs w:val="22"/>
                <w:lang w:val="ro-RO"/>
              </w:rPr>
              <w:t>În această bază de date vor fi incluse și disponibile metadatele detaliate pentru fiecare indicator. Baza de date TEMPO conţine şi rezultatele anchetelor anterioare.</w:t>
            </w:r>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D859DE" w:rsidRPr="006E6EE0" w:rsidRDefault="00D859DE" w:rsidP="00D859DE">
            <w:pPr>
              <w:rPr>
                <w:b/>
                <w:bCs/>
                <w:sz w:val="22"/>
                <w:szCs w:val="22"/>
                <w:lang w:val="ro-RO"/>
              </w:rPr>
            </w:pPr>
            <w:bookmarkStart w:id="67" w:name="datatable_consult"/>
            <w:bookmarkEnd w:id="67"/>
            <w:r w:rsidRPr="006E6EE0">
              <w:rPr>
                <w:b/>
                <w:bCs/>
                <w:sz w:val="22"/>
                <w:szCs w:val="22"/>
                <w:lang w:val="ro-RO"/>
              </w:rPr>
              <w:t>9.3.1. Tabele cu date – consultări</w:t>
            </w:r>
          </w:p>
        </w:tc>
      </w:tr>
      <w:tr w:rsidR="00D859DE" w:rsidRPr="00A650F0"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D859DE" w:rsidP="00D859DE">
            <w:pPr>
              <w:jc w:val="both"/>
              <w:rPr>
                <w:rStyle w:val="hidden"/>
                <w:rFonts w:ascii="Bookman Old Style" w:hAnsi="Bookman Old Style"/>
                <w:sz w:val="20"/>
                <w:szCs w:val="20"/>
                <w:lang w:val="ro-RO"/>
              </w:rPr>
            </w:pPr>
            <w:r w:rsidRPr="006E6EE0">
              <w:rPr>
                <w:sz w:val="22"/>
                <w:szCs w:val="22"/>
                <w:lang w:val="ro-RO"/>
              </w:rPr>
              <w:t>Nu se aplică.</w:t>
            </w:r>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859DE" w:rsidRPr="006E6EE0" w:rsidRDefault="002D053E" w:rsidP="00D859DE">
            <w:pPr>
              <w:jc w:val="both"/>
              <w:rPr>
                <w:rFonts w:ascii="Bookman Old Style" w:hAnsi="Bookman Old Style"/>
                <w:b/>
                <w:bCs/>
                <w:sz w:val="20"/>
                <w:szCs w:val="20"/>
                <w:lang w:val="ro-RO"/>
              </w:rPr>
            </w:pPr>
            <w:bookmarkStart w:id="68" w:name="micro_dat_acc"/>
            <w:bookmarkEnd w:id="68"/>
            <w:r w:rsidRPr="006E6EE0">
              <w:rPr>
                <w:b/>
                <w:bCs/>
                <w:sz w:val="22"/>
                <w:szCs w:val="22"/>
                <w:lang w:val="ro-RO"/>
              </w:rPr>
              <w:t>9.4. Formatul de diseminare a datelor – acces la microdate</w:t>
            </w:r>
          </w:p>
        </w:tc>
      </w:tr>
      <w:tr w:rsidR="00D859DE" w:rsidRPr="00A650F0" w:rsidTr="000A77E7">
        <w:trPr>
          <w:trHeight w:val="148"/>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2D053E" w:rsidP="00D859DE">
            <w:pPr>
              <w:pStyle w:val="Style16"/>
              <w:spacing w:before="60" w:line="240" w:lineRule="auto"/>
              <w:rPr>
                <w:rFonts w:ascii="Times New Roman" w:hAnsi="Times New Roman"/>
                <w:b/>
                <w:bCs/>
                <w:sz w:val="20"/>
                <w:szCs w:val="20"/>
                <w:lang w:val="ro-RO"/>
              </w:rPr>
            </w:pPr>
            <w:r w:rsidRPr="006E6EE0">
              <w:rPr>
                <w:rFonts w:ascii="Times New Roman" w:hAnsi="Times New Roman"/>
                <w:sz w:val="22"/>
                <w:szCs w:val="22"/>
                <w:lang w:val="ro-RO"/>
              </w:rPr>
              <w:t>Conform regulilor de diseminare ale Eurostat.</w:t>
            </w:r>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859DE" w:rsidRPr="006E6EE0" w:rsidRDefault="002D053E" w:rsidP="00D859DE">
            <w:pPr>
              <w:jc w:val="both"/>
              <w:rPr>
                <w:rFonts w:ascii="Bookman Old Style" w:hAnsi="Bookman Old Style"/>
                <w:b/>
                <w:bCs/>
                <w:sz w:val="20"/>
                <w:szCs w:val="20"/>
                <w:lang w:val="ro-RO"/>
              </w:rPr>
            </w:pPr>
            <w:bookmarkStart w:id="69" w:name="diss_other"/>
            <w:bookmarkEnd w:id="69"/>
            <w:r w:rsidRPr="006E6EE0">
              <w:rPr>
                <w:b/>
                <w:bCs/>
                <w:sz w:val="22"/>
                <w:szCs w:val="22"/>
                <w:lang w:val="ro-RO"/>
              </w:rPr>
              <w:t>9.5. Formatul de diseminare a datelor – altul decât cele mai sus menţionate</w:t>
            </w:r>
          </w:p>
        </w:tc>
      </w:tr>
      <w:tr w:rsidR="00D859DE" w:rsidRPr="00A650F0" w:rsidTr="000A77E7">
        <w:trPr>
          <w:trHeight w:val="113"/>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2D053E" w:rsidP="00D859DE">
            <w:pPr>
              <w:jc w:val="both"/>
              <w:rPr>
                <w:rFonts w:ascii="Bookman Old Style" w:hAnsi="Bookman Old Style"/>
                <w:b/>
                <w:bCs/>
                <w:sz w:val="20"/>
                <w:szCs w:val="20"/>
                <w:lang w:val="ro-RO"/>
              </w:rPr>
            </w:pPr>
            <w:r w:rsidRPr="006E6EE0">
              <w:rPr>
                <w:sz w:val="22"/>
                <w:szCs w:val="22"/>
                <w:lang w:val="ro-RO"/>
              </w:rPr>
              <w:t>Nu este cazul.</w:t>
            </w:r>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859DE" w:rsidRPr="006E6EE0" w:rsidRDefault="002D053E" w:rsidP="00D859DE">
            <w:pPr>
              <w:jc w:val="both"/>
              <w:rPr>
                <w:rFonts w:ascii="Bookman Old Style" w:hAnsi="Bookman Old Style"/>
                <w:b/>
                <w:bCs/>
                <w:sz w:val="20"/>
                <w:szCs w:val="20"/>
                <w:lang w:val="ro-RO"/>
              </w:rPr>
            </w:pPr>
            <w:bookmarkStart w:id="70" w:name="doc_method"/>
            <w:bookmarkEnd w:id="70"/>
            <w:r w:rsidRPr="006E6EE0">
              <w:rPr>
                <w:b/>
                <w:bCs/>
                <w:sz w:val="22"/>
                <w:szCs w:val="22"/>
                <w:lang w:val="ro-RO"/>
              </w:rPr>
              <w:t>9.6. Documentaţie asupra metodologiei</w:t>
            </w:r>
          </w:p>
        </w:tc>
      </w:tr>
      <w:tr w:rsidR="00D859DE" w:rsidRPr="00A650F0"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2D053E" w:rsidRPr="006E6EE0" w:rsidRDefault="002D053E" w:rsidP="002D053E">
            <w:pPr>
              <w:spacing w:before="30" w:after="30"/>
              <w:jc w:val="both"/>
              <w:rPr>
                <w:sz w:val="22"/>
                <w:szCs w:val="22"/>
                <w:lang w:val="ro-RO"/>
              </w:rPr>
            </w:pPr>
            <w:r w:rsidRPr="006E6EE0">
              <w:rPr>
                <w:sz w:val="22"/>
                <w:szCs w:val="22"/>
                <w:lang w:val="ro-RO"/>
              </w:rPr>
              <w:t>Metadatele şi notele metodologice sunt incluse în toate modalităţile de diseminare a rezultatelor Anchetei privind formarea profesională în întreprinderi (comunicat de presă, publicaţie, cereri de date ad hoc).</w:t>
            </w:r>
          </w:p>
          <w:p w:rsidR="00D859DE" w:rsidRPr="006E6EE0" w:rsidRDefault="002D053E" w:rsidP="002D053E">
            <w:pPr>
              <w:pStyle w:val="Style16"/>
              <w:spacing w:before="60" w:line="240" w:lineRule="auto"/>
              <w:rPr>
                <w:rFonts w:ascii="Times New Roman" w:hAnsi="Times New Roman"/>
                <w:sz w:val="20"/>
                <w:szCs w:val="20"/>
                <w:lang w:val="ro-RO"/>
              </w:rPr>
            </w:pPr>
            <w:r w:rsidRPr="006E6EE0">
              <w:rPr>
                <w:rFonts w:ascii="Times New Roman" w:hAnsi="Times New Roman"/>
                <w:sz w:val="22"/>
                <w:szCs w:val="22"/>
                <w:lang w:val="ro-RO"/>
              </w:rPr>
              <w:t>De asemenea, precizările metodologice se regăsesc şi în baza de date TEMPO: </w:t>
            </w:r>
            <w:r w:rsidRPr="006E6EE0">
              <w:rPr>
                <w:rFonts w:ascii="Times New Roman" w:hAnsi="Times New Roman"/>
                <w:color w:val="0F4BA0"/>
                <w:sz w:val="22"/>
                <w:szCs w:val="22"/>
                <w:u w:val="single"/>
                <w:lang w:val="ro-RO"/>
              </w:rPr>
              <w:t>http://statistici.insse.ro/shop/?lang=ro</w:t>
            </w:r>
            <w:r w:rsidRPr="006E6EE0">
              <w:rPr>
                <w:rFonts w:ascii="Times New Roman" w:hAnsi="Times New Roman"/>
                <w:sz w:val="22"/>
                <w:szCs w:val="22"/>
                <w:lang w:val="ro-RO"/>
              </w:rPr>
              <w:t xml:space="preserve"> şi în baza de metadate naţională a INS: </w:t>
            </w:r>
            <w:r w:rsidRPr="006E6EE0">
              <w:rPr>
                <w:rFonts w:ascii="Times New Roman" w:hAnsi="Times New Roman"/>
                <w:color w:val="0F4BA0"/>
                <w:sz w:val="22"/>
                <w:szCs w:val="22"/>
                <w:u w:val="single"/>
                <w:lang w:val="ro-RO"/>
              </w:rPr>
              <w:t>http://colectaredate.insse.ro/metadata/public.htm?locale=ro</w:t>
            </w:r>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D859DE" w:rsidRPr="006E6EE0" w:rsidRDefault="006E6EE0" w:rsidP="00D859DE">
            <w:pPr>
              <w:jc w:val="both"/>
              <w:rPr>
                <w:rFonts w:ascii="Bookman Old Style" w:hAnsi="Bookman Old Style"/>
                <w:b/>
                <w:bCs/>
                <w:sz w:val="20"/>
                <w:szCs w:val="20"/>
                <w:lang w:val="ro-RO"/>
              </w:rPr>
            </w:pPr>
            <w:bookmarkStart w:id="71" w:name="quality_doc"/>
            <w:bookmarkEnd w:id="71"/>
            <w:r w:rsidRPr="006E6EE0">
              <w:rPr>
                <w:b/>
                <w:bCs/>
                <w:sz w:val="22"/>
                <w:szCs w:val="22"/>
                <w:lang w:val="ro-RO"/>
              </w:rPr>
              <w:t>9.7. Managementul calităţii - documentaţie</w:t>
            </w:r>
          </w:p>
        </w:tc>
      </w:tr>
      <w:tr w:rsidR="00D859DE" w:rsidRPr="00A650F0"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6E6EE0" w:rsidP="00D859DE">
            <w:pPr>
              <w:jc w:val="both"/>
              <w:rPr>
                <w:rStyle w:val="hidden"/>
                <w:rFonts w:ascii="Bookman Old Style" w:hAnsi="Bookman Old Style"/>
                <w:sz w:val="20"/>
                <w:szCs w:val="20"/>
                <w:highlight w:val="green"/>
                <w:lang w:val="ro-RO"/>
              </w:rPr>
            </w:pPr>
            <w:r w:rsidRPr="006E6EE0">
              <w:rPr>
                <w:sz w:val="22"/>
                <w:szCs w:val="22"/>
                <w:lang w:val="ro-RO"/>
              </w:rPr>
              <w:t xml:space="preserve">Raportul de calitate al Anchetei privind formarea profesională în întreprinderi este disponibil pe site-ul INS (în limba Română şi  Engleză) şi conţine aceleaşi informaţii ca şi în ESS MH. </w:t>
            </w:r>
            <w:hyperlink r:id="rId31" w:history="1">
              <w:r w:rsidRPr="006E6EE0">
                <w:rPr>
                  <w:color w:val="0F4BA0"/>
                  <w:lang w:val="ro-RO"/>
                </w:rPr>
                <w:t>http://www.insse.ro/cms/ro/content/rapoarte-de-calitate-anchete-statistice</w:t>
              </w:r>
            </w:hyperlink>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D859DE" w:rsidRPr="006E6EE0" w:rsidRDefault="006E6EE0" w:rsidP="00D859DE">
            <w:pPr>
              <w:jc w:val="both"/>
              <w:rPr>
                <w:rFonts w:ascii="Bookman Old Style" w:hAnsi="Bookman Old Style"/>
                <w:b/>
                <w:bCs/>
                <w:sz w:val="20"/>
                <w:szCs w:val="20"/>
                <w:lang w:val="ro-RO"/>
              </w:rPr>
            </w:pPr>
            <w:bookmarkStart w:id="72" w:name="metadata_complete"/>
            <w:bookmarkEnd w:id="72"/>
            <w:r w:rsidRPr="006E6EE0">
              <w:rPr>
                <w:b/>
                <w:bCs/>
                <w:sz w:val="22"/>
                <w:szCs w:val="22"/>
                <w:lang w:val="ro-RO"/>
              </w:rPr>
              <w:t>9.7.1. Rata de completitudine a metadatelor</w:t>
            </w:r>
          </w:p>
        </w:tc>
      </w:tr>
      <w:tr w:rsidR="00D859DE" w:rsidRPr="00A650F0" w:rsidTr="000A77E7">
        <w:trPr>
          <w:trHeight w:val="127"/>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6E6EE0" w:rsidP="00D859DE">
            <w:pPr>
              <w:pStyle w:val="Style16"/>
              <w:spacing w:before="60" w:line="240" w:lineRule="auto"/>
              <w:rPr>
                <w:rFonts w:ascii="Times New Roman" w:hAnsi="Times New Roman"/>
                <w:b/>
                <w:bCs/>
                <w:sz w:val="20"/>
                <w:szCs w:val="20"/>
                <w:lang w:val="ro-RO"/>
              </w:rPr>
            </w:pPr>
            <w:r w:rsidRPr="006E6EE0">
              <w:rPr>
                <w:rFonts w:ascii="Times New Roman" w:hAnsi="Times New Roman"/>
                <w:sz w:val="22"/>
                <w:szCs w:val="22"/>
                <w:lang w:val="ro-RO"/>
              </w:rPr>
              <w:t>100%</w:t>
            </w:r>
          </w:p>
        </w:tc>
      </w:tr>
      <w:tr w:rsidR="00D859DE" w:rsidRPr="00A650F0" w:rsidTr="000A77E7">
        <w:tc>
          <w:tcPr>
            <w:tcW w:w="5000" w:type="pct"/>
            <w:tcBorders>
              <w:top w:val="single" w:sz="8" w:space="0" w:color="000000"/>
              <w:left w:val="single" w:sz="8" w:space="0" w:color="000000"/>
              <w:bottom w:val="single" w:sz="8" w:space="0" w:color="000000"/>
              <w:right w:val="single" w:sz="8" w:space="0" w:color="000000"/>
            </w:tcBorders>
            <w:shd w:val="clear" w:color="auto" w:fill="FFFFDD"/>
            <w:tcMar>
              <w:top w:w="20" w:type="dxa"/>
              <w:left w:w="507" w:type="dxa"/>
              <w:bottom w:w="20" w:type="dxa"/>
              <w:right w:w="129" w:type="dxa"/>
            </w:tcMar>
          </w:tcPr>
          <w:p w:rsidR="00D859DE" w:rsidRPr="006E6EE0" w:rsidRDefault="006E6EE0" w:rsidP="00D859DE">
            <w:pPr>
              <w:jc w:val="both"/>
              <w:rPr>
                <w:rFonts w:ascii="Bookman Old Style" w:hAnsi="Bookman Old Style"/>
                <w:b/>
                <w:bCs/>
                <w:sz w:val="20"/>
                <w:szCs w:val="20"/>
                <w:lang w:val="ro-RO"/>
              </w:rPr>
            </w:pPr>
            <w:bookmarkStart w:id="73" w:name="metadata_consult"/>
            <w:bookmarkEnd w:id="73"/>
            <w:r w:rsidRPr="006E6EE0">
              <w:rPr>
                <w:b/>
                <w:bCs/>
                <w:sz w:val="22"/>
                <w:szCs w:val="22"/>
                <w:lang w:val="ro-RO"/>
              </w:rPr>
              <w:t>9.7.2. Metadate – consultări</w:t>
            </w:r>
          </w:p>
        </w:tc>
      </w:tr>
      <w:tr w:rsidR="00D859DE" w:rsidRPr="00A650F0" w:rsidTr="00852A8D">
        <w:trPr>
          <w:trHeight w:val="189"/>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D859DE" w:rsidRPr="006E6EE0" w:rsidRDefault="006E6EE0" w:rsidP="00D859DE">
            <w:pPr>
              <w:pStyle w:val="Style16"/>
              <w:spacing w:before="60" w:line="240" w:lineRule="auto"/>
              <w:rPr>
                <w:rFonts w:ascii="Times New Roman" w:hAnsi="Times New Roman"/>
                <w:b/>
                <w:bCs/>
                <w:sz w:val="20"/>
                <w:szCs w:val="20"/>
                <w:lang w:val="ro-RO"/>
              </w:rPr>
            </w:pPr>
            <w:r w:rsidRPr="006E6EE0">
              <w:rPr>
                <w:rFonts w:ascii="Times New Roman" w:hAnsi="Times New Roman"/>
                <w:sz w:val="22"/>
                <w:szCs w:val="22"/>
                <w:lang w:val="ro-RO"/>
              </w:rPr>
              <w:t>Informaţia nu este disponibilă.</w:t>
            </w:r>
          </w:p>
        </w:tc>
      </w:tr>
    </w:tbl>
    <w:p w:rsidR="00832C90" w:rsidRDefault="00832C90" w:rsidP="006A48FA">
      <w:pPr>
        <w:pStyle w:val="doccommon1"/>
        <w:shd w:val="clear" w:color="auto" w:fill="FFFFFF"/>
        <w:rPr>
          <w:rFonts w:ascii="Bookman Old Style" w:hAnsi="Bookman Old Style"/>
          <w:lang w:val="ro-RO"/>
        </w:rPr>
      </w:pPr>
    </w:p>
    <w:p w:rsidR="00A64479" w:rsidRPr="00852A8D" w:rsidRDefault="00A64479" w:rsidP="006A48FA">
      <w:pPr>
        <w:pStyle w:val="doccommon1"/>
        <w:shd w:val="clear" w:color="auto" w:fill="FFFFFF"/>
        <w:rPr>
          <w:rFonts w:ascii="Bookman Old Style" w:hAnsi="Bookman Old Style"/>
          <w:lang w:val="ro-RO"/>
        </w:rPr>
      </w:pPr>
    </w:p>
    <w:tbl>
      <w:tblPr>
        <w:tblW w:w="4950" w:type="pct"/>
        <w:tblCellMar>
          <w:left w:w="0" w:type="dxa"/>
          <w:right w:w="0" w:type="dxa"/>
        </w:tblCellMar>
        <w:tblLook w:val="00A0" w:firstRow="1" w:lastRow="0" w:firstColumn="1" w:lastColumn="0" w:noHBand="0" w:noVBand="0"/>
      </w:tblPr>
      <w:tblGrid>
        <w:gridCol w:w="9797"/>
      </w:tblGrid>
      <w:tr w:rsidR="00832C90" w:rsidRPr="00E062B6" w:rsidTr="000A77E7">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E062B6" w:rsidRDefault="00832C90" w:rsidP="000A77E7">
            <w:pPr>
              <w:rPr>
                <w:rFonts w:ascii="Bookman Old Style" w:hAnsi="Bookman Old Style"/>
                <w:b/>
                <w:bCs/>
                <w:lang w:val="ro-RO"/>
              </w:rPr>
            </w:pPr>
            <w:bookmarkStart w:id="74" w:name="cost_burden1502954759597"/>
            <w:bookmarkEnd w:id="74"/>
            <w:r w:rsidRPr="00E062B6">
              <w:rPr>
                <w:b/>
                <w:bCs/>
                <w:sz w:val="32"/>
                <w:szCs w:val="32"/>
                <w:lang w:val="ro-RO"/>
              </w:rPr>
              <w:t xml:space="preserve">10. </w:t>
            </w:r>
            <w:r w:rsidR="00900D25" w:rsidRPr="00E062B6">
              <w:rPr>
                <w:b/>
                <w:bCs/>
                <w:sz w:val="32"/>
                <w:szCs w:val="32"/>
                <w:lang w:val="ro-RO"/>
              </w:rPr>
              <w:t>Gradul de împovărare</w:t>
            </w:r>
          </w:p>
        </w:tc>
      </w:tr>
      <w:tr w:rsidR="00832C90" w:rsidRPr="00E062B6" w:rsidTr="000A77E7">
        <w:trPr>
          <w:trHeight w:val="47"/>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E062B6" w:rsidRDefault="00900D25" w:rsidP="00E75E09">
            <w:pPr>
              <w:pStyle w:val="Style16"/>
              <w:spacing w:before="60" w:line="240" w:lineRule="auto"/>
              <w:rPr>
                <w:rFonts w:ascii="Times New Roman" w:hAnsi="Times New Roman"/>
                <w:sz w:val="20"/>
                <w:szCs w:val="20"/>
                <w:highlight w:val="green"/>
                <w:lang w:val="ro-RO"/>
              </w:rPr>
            </w:pPr>
            <w:r w:rsidRPr="00E062B6">
              <w:rPr>
                <w:rFonts w:ascii="Times New Roman" w:hAnsi="Times New Roman"/>
                <w:sz w:val="22"/>
                <w:szCs w:val="22"/>
                <w:lang w:val="ro-RO"/>
              </w:rPr>
              <w:t>Informaţia nu este disponibilă.</w:t>
            </w:r>
          </w:p>
        </w:tc>
      </w:tr>
    </w:tbl>
    <w:p w:rsidR="00832C90" w:rsidRDefault="00832C90" w:rsidP="006A48FA">
      <w:pPr>
        <w:pStyle w:val="doccommon1"/>
        <w:shd w:val="clear" w:color="auto" w:fill="FFFFFF"/>
        <w:rPr>
          <w:rFonts w:ascii="Bookman Old Style" w:hAnsi="Bookman Old Style"/>
          <w:lang w:val="ro-RO"/>
        </w:rPr>
      </w:pPr>
    </w:p>
    <w:p w:rsidR="00852A8D" w:rsidRDefault="00852A8D" w:rsidP="006A48FA">
      <w:pPr>
        <w:pStyle w:val="doccommon1"/>
        <w:shd w:val="clear" w:color="auto" w:fill="FFFFFF"/>
        <w:rPr>
          <w:rFonts w:ascii="Bookman Old Style" w:hAnsi="Bookman Old Style"/>
          <w:lang w:val="ro-RO"/>
        </w:rPr>
      </w:pPr>
    </w:p>
    <w:tbl>
      <w:tblPr>
        <w:tblW w:w="4950" w:type="pct"/>
        <w:tblCellMar>
          <w:left w:w="0" w:type="dxa"/>
          <w:right w:w="0" w:type="dxa"/>
        </w:tblCellMar>
        <w:tblLook w:val="00A0" w:firstRow="1" w:lastRow="0" w:firstColumn="1" w:lastColumn="0" w:noHBand="0" w:noVBand="0"/>
      </w:tblPr>
      <w:tblGrid>
        <w:gridCol w:w="9797"/>
      </w:tblGrid>
      <w:tr w:rsidR="00832C90" w:rsidRPr="00E062B6" w:rsidTr="000A77E7">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E062B6" w:rsidRDefault="00832C90" w:rsidP="000A77E7">
            <w:pPr>
              <w:rPr>
                <w:rFonts w:ascii="Bookman Old Style" w:hAnsi="Bookman Old Style"/>
                <w:b/>
                <w:bCs/>
                <w:lang w:val="ro-RO"/>
              </w:rPr>
            </w:pPr>
            <w:bookmarkStart w:id="75" w:name="conf1502954759597"/>
            <w:bookmarkEnd w:id="75"/>
            <w:r w:rsidRPr="00E062B6">
              <w:rPr>
                <w:b/>
                <w:bCs/>
                <w:sz w:val="32"/>
                <w:szCs w:val="32"/>
                <w:lang w:val="ro-RO"/>
              </w:rPr>
              <w:lastRenderedPageBreak/>
              <w:t xml:space="preserve">11. </w:t>
            </w:r>
            <w:r w:rsidR="00900D25" w:rsidRPr="00E062B6">
              <w:rPr>
                <w:b/>
                <w:bCs/>
                <w:sz w:val="32"/>
                <w:szCs w:val="32"/>
                <w:lang w:val="ro-RO"/>
              </w:rPr>
              <w:t>Confidenţialitatea</w:t>
            </w:r>
          </w:p>
        </w:tc>
      </w:tr>
      <w:tr w:rsidR="00832C90" w:rsidRPr="00E062B6" w:rsidTr="000A77E7">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E062B6" w:rsidRDefault="00B8046E" w:rsidP="000A77E7">
            <w:pPr>
              <w:rPr>
                <w:rFonts w:ascii="Bookman Old Style" w:hAnsi="Bookman Old Style"/>
                <w:b/>
                <w:bCs/>
                <w:sz w:val="20"/>
                <w:szCs w:val="20"/>
                <w:lang w:val="ro-RO"/>
              </w:rPr>
            </w:pPr>
            <w:bookmarkStart w:id="76" w:name="conf_policy"/>
            <w:bookmarkEnd w:id="76"/>
            <w:r w:rsidRPr="00E062B6">
              <w:rPr>
                <w:b/>
                <w:bCs/>
                <w:sz w:val="22"/>
                <w:szCs w:val="22"/>
                <w:lang w:val="ro-RO"/>
              </w:rPr>
              <w:t>11.1. Politica de confidenţialitate</w:t>
            </w:r>
          </w:p>
        </w:tc>
      </w:tr>
      <w:tr w:rsidR="00832C90" w:rsidRPr="00E062B6"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B8046E" w:rsidRPr="00E062B6" w:rsidRDefault="00B8046E" w:rsidP="00B8046E">
            <w:pPr>
              <w:spacing w:before="30" w:after="30"/>
              <w:jc w:val="both"/>
              <w:rPr>
                <w:sz w:val="22"/>
                <w:szCs w:val="22"/>
                <w:lang w:val="ro-RO"/>
              </w:rPr>
            </w:pPr>
            <w:r w:rsidRPr="00E062B6">
              <w:rPr>
                <w:sz w:val="22"/>
                <w:szCs w:val="22"/>
                <w:lang w:val="ro-RO"/>
              </w:rPr>
              <w:t>Toate statisticile colectate și publicate de INS sunt reglementate de Legea statisticii nr. 226/2009 privind organizarea statisticii oficiale, publicate în Monitorul Oficial partea I din România, nr. 397/11.06.2009, cu modificările ulterioare. Legea precizează că: serviciile de statistică oficială sunt autorizate să solicite și să primească gratuit date statistice și informații de la toate persoanele fizice și juridice care sunt situate pe teritoriul României, dețin orice tip de capital sau efectuează orice tip de activitate pe teritoriul României.</w:t>
            </w:r>
          </w:p>
          <w:p w:rsidR="00B8046E" w:rsidRPr="00E062B6" w:rsidRDefault="00B8046E" w:rsidP="00B8046E">
            <w:pPr>
              <w:spacing w:before="30" w:after="30"/>
              <w:jc w:val="both"/>
              <w:rPr>
                <w:sz w:val="22"/>
                <w:szCs w:val="22"/>
                <w:lang w:val="ro-RO"/>
              </w:rPr>
            </w:pPr>
            <w:r w:rsidRPr="00E062B6">
              <w:rPr>
                <w:sz w:val="22"/>
                <w:szCs w:val="22"/>
                <w:lang w:val="ro-RO"/>
              </w:rPr>
              <w:t>De asemenea, în conformitate cu dispozițiile prezentei legi, INS nu poate publica sau pune la dispoziția vreunui individ sau organizație, statistici care ar putea permite identificarea datelor pentru orice persoană fizică sau juridică individuală</w:t>
            </w:r>
          </w:p>
          <w:p w:rsidR="00B8046E" w:rsidRPr="00E062B6" w:rsidRDefault="00B8046E" w:rsidP="00B8046E">
            <w:pPr>
              <w:spacing w:before="30" w:after="30"/>
              <w:jc w:val="both"/>
              <w:rPr>
                <w:sz w:val="22"/>
                <w:szCs w:val="22"/>
                <w:lang w:val="ro-RO"/>
              </w:rPr>
            </w:pPr>
            <w:r w:rsidRPr="00E062B6">
              <w:rPr>
                <w:sz w:val="22"/>
                <w:szCs w:val="22"/>
                <w:lang w:val="ro-RO"/>
              </w:rPr>
              <w:t>INS a fost recunoscut în mod oficial de către guvern ca organizaţie deplin independentă: instituţia decide ce date să colecteze, ce metodologii utilizează și ce rezultate, note metodologice și comentarii sunt publicate.</w:t>
            </w:r>
          </w:p>
          <w:p w:rsidR="00832C90" w:rsidRPr="00E062B6" w:rsidRDefault="00B8046E" w:rsidP="00B8046E">
            <w:pPr>
              <w:spacing w:before="60"/>
              <w:jc w:val="both"/>
              <w:rPr>
                <w:rFonts w:ascii="Bookman Old Style" w:hAnsi="Bookman Old Style"/>
                <w:b/>
                <w:bCs/>
                <w:sz w:val="20"/>
                <w:szCs w:val="20"/>
                <w:lang w:val="ro-RO"/>
              </w:rPr>
            </w:pPr>
            <w:r w:rsidRPr="00E062B6">
              <w:rPr>
                <w:sz w:val="22"/>
                <w:szCs w:val="22"/>
                <w:lang w:val="ro-RO"/>
              </w:rPr>
              <w:t>Cele mai importante aspecte referitoare la organizarea statisticii oficiale în România sunt postate pe site-ul Institutului Național de Statistică (</w:t>
            </w:r>
            <w:hyperlink r:id="rId32" w:tgtFrame="_blank" w:history="1">
              <w:r w:rsidRPr="00E062B6">
                <w:rPr>
                  <w:color w:val="0F4BA0"/>
                  <w:sz w:val="22"/>
                  <w:szCs w:val="22"/>
                  <w:u w:val="single"/>
                  <w:lang w:val="ro-RO"/>
                </w:rPr>
                <w:t>http://www.insse.ro</w:t>
              </w:r>
            </w:hyperlink>
            <w:r w:rsidRPr="00E062B6">
              <w:rPr>
                <w:sz w:val="22"/>
                <w:szCs w:val="22"/>
                <w:lang w:val="ro-RO"/>
              </w:rPr>
              <w:t>).</w:t>
            </w:r>
          </w:p>
        </w:tc>
      </w:tr>
      <w:tr w:rsidR="00832C90" w:rsidRPr="00E062B6" w:rsidTr="00E75E09">
        <w:tc>
          <w:tcPr>
            <w:tcW w:w="5000" w:type="pct"/>
            <w:tcBorders>
              <w:top w:val="single" w:sz="8" w:space="0" w:color="000000"/>
              <w:left w:val="single" w:sz="8" w:space="0" w:color="000000"/>
              <w:bottom w:val="single" w:sz="8" w:space="0" w:color="000000"/>
              <w:right w:val="single" w:sz="8" w:space="0" w:color="000000"/>
            </w:tcBorders>
            <w:shd w:val="clear" w:color="auto" w:fill="FFFFCC"/>
            <w:tcMar>
              <w:top w:w="20" w:type="dxa"/>
              <w:left w:w="129" w:type="dxa"/>
              <w:bottom w:w="20" w:type="dxa"/>
              <w:right w:w="129" w:type="dxa"/>
            </w:tcMar>
          </w:tcPr>
          <w:p w:rsidR="00832C90" w:rsidRPr="00E062B6" w:rsidRDefault="00B8046E" w:rsidP="000A77E7">
            <w:pPr>
              <w:rPr>
                <w:rFonts w:ascii="Bookman Old Style" w:hAnsi="Bookman Old Style"/>
                <w:b/>
                <w:bCs/>
                <w:sz w:val="20"/>
                <w:szCs w:val="20"/>
                <w:lang w:val="ro-RO"/>
              </w:rPr>
            </w:pPr>
            <w:bookmarkStart w:id="77" w:name="conf_data_tr"/>
            <w:bookmarkEnd w:id="77"/>
            <w:r w:rsidRPr="00E062B6">
              <w:rPr>
                <w:b/>
                <w:bCs/>
                <w:sz w:val="22"/>
                <w:szCs w:val="22"/>
                <w:lang w:val="ro-RO"/>
              </w:rPr>
              <w:t>11.2. Confidenţialitatea – tratamentul datelor</w:t>
            </w:r>
          </w:p>
        </w:tc>
      </w:tr>
      <w:tr w:rsidR="00832C90" w:rsidRPr="00E062B6" w:rsidTr="00E75E09">
        <w:tblPrEx>
          <w:tblCellMar>
            <w:left w:w="108" w:type="dxa"/>
            <w:right w:w="108" w:type="dxa"/>
          </w:tblCellMar>
        </w:tblPrEx>
        <w:trPr>
          <w:trHeight w:val="55"/>
        </w:trPr>
        <w:tc>
          <w:tcPr>
            <w:tcW w:w="5000" w:type="pct"/>
            <w:tcBorders>
              <w:top w:val="single" w:sz="8" w:space="0" w:color="000000"/>
              <w:left w:val="single" w:sz="8" w:space="0" w:color="000000"/>
              <w:bottom w:val="single" w:sz="8" w:space="0" w:color="000000"/>
              <w:right w:val="single" w:sz="8" w:space="0" w:color="000000"/>
            </w:tcBorders>
          </w:tcPr>
          <w:p w:rsidR="00832C90" w:rsidRPr="00E062B6" w:rsidRDefault="00B8046E" w:rsidP="00E75E09">
            <w:pPr>
              <w:spacing w:before="60"/>
              <w:jc w:val="both"/>
              <w:rPr>
                <w:rFonts w:ascii="Bookman Old Style" w:hAnsi="Bookman Old Style"/>
                <w:b/>
                <w:bCs/>
                <w:sz w:val="20"/>
                <w:szCs w:val="20"/>
                <w:lang w:val="ro-RO"/>
              </w:rPr>
            </w:pPr>
            <w:r w:rsidRPr="00E062B6">
              <w:rPr>
                <w:sz w:val="22"/>
                <w:szCs w:val="22"/>
                <w:lang w:val="ro-RO"/>
              </w:rPr>
              <w:t>În conformitate cu criteriile de anonimizare ale Eurostat.</w:t>
            </w:r>
          </w:p>
        </w:tc>
      </w:tr>
    </w:tbl>
    <w:p w:rsidR="00832C90" w:rsidRPr="00E062B6" w:rsidRDefault="00832C90" w:rsidP="006A48FA">
      <w:pPr>
        <w:pStyle w:val="doccommon1"/>
        <w:shd w:val="clear" w:color="auto" w:fill="FFFFFF"/>
        <w:rPr>
          <w:rFonts w:ascii="Bookman Old Style" w:hAnsi="Bookman Old Style"/>
          <w:sz w:val="20"/>
          <w:szCs w:val="20"/>
          <w:lang w:val="ro-RO"/>
        </w:rPr>
      </w:pPr>
    </w:p>
    <w:tbl>
      <w:tblPr>
        <w:tblW w:w="4950" w:type="pct"/>
        <w:tblCellMar>
          <w:left w:w="0" w:type="dxa"/>
          <w:right w:w="0" w:type="dxa"/>
        </w:tblCellMar>
        <w:tblLook w:val="00A0" w:firstRow="1" w:lastRow="0" w:firstColumn="1" w:lastColumn="0" w:noHBand="0" w:noVBand="0"/>
      </w:tblPr>
      <w:tblGrid>
        <w:gridCol w:w="9797"/>
      </w:tblGrid>
      <w:tr w:rsidR="00832C90" w:rsidRPr="00E062B6" w:rsidTr="000A77E7">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E062B6" w:rsidRDefault="00832C90" w:rsidP="000A77E7">
            <w:pPr>
              <w:rPr>
                <w:rFonts w:ascii="Bookman Old Style" w:hAnsi="Bookman Old Style"/>
                <w:b/>
                <w:bCs/>
                <w:sz w:val="20"/>
                <w:szCs w:val="20"/>
                <w:lang w:val="ro-RO"/>
              </w:rPr>
            </w:pPr>
            <w:bookmarkStart w:id="78" w:name="comment_dset1502954759597"/>
            <w:bookmarkEnd w:id="78"/>
            <w:r w:rsidRPr="00E062B6">
              <w:rPr>
                <w:b/>
                <w:bCs/>
                <w:sz w:val="32"/>
                <w:szCs w:val="32"/>
                <w:lang w:val="ro-RO"/>
              </w:rPr>
              <w:t xml:space="preserve">12. </w:t>
            </w:r>
            <w:r w:rsidR="00B8046E" w:rsidRPr="00E062B6">
              <w:rPr>
                <w:b/>
                <w:bCs/>
                <w:sz w:val="32"/>
                <w:szCs w:val="32"/>
                <w:lang w:val="ro-RO"/>
              </w:rPr>
              <w:t>Comentarii</w:t>
            </w:r>
          </w:p>
        </w:tc>
      </w:tr>
      <w:tr w:rsidR="00832C90" w:rsidRPr="00E062B6" w:rsidTr="000A77E7">
        <w:trPr>
          <w:trHeight w:val="300"/>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832C90" w:rsidRPr="00E062B6" w:rsidRDefault="00B8046E" w:rsidP="00E75E09">
            <w:pPr>
              <w:spacing w:before="60"/>
              <w:jc w:val="both"/>
              <w:rPr>
                <w:rStyle w:val="hidden"/>
                <w:rFonts w:ascii="Bookman Old Style" w:hAnsi="Bookman Old Style"/>
                <w:sz w:val="20"/>
                <w:szCs w:val="20"/>
                <w:highlight w:val="green"/>
                <w:lang w:val="ro-RO"/>
              </w:rPr>
            </w:pPr>
            <w:r w:rsidRPr="00E062B6">
              <w:rPr>
                <w:sz w:val="22"/>
                <w:szCs w:val="22"/>
                <w:lang w:val="ro-RO"/>
              </w:rPr>
              <w:t>Fără comentarii.</w:t>
            </w:r>
          </w:p>
        </w:tc>
      </w:tr>
    </w:tbl>
    <w:p w:rsidR="00832C90" w:rsidRPr="00E062B6" w:rsidRDefault="00832C90" w:rsidP="006A48FA">
      <w:pPr>
        <w:pStyle w:val="doccommon1"/>
        <w:shd w:val="clear" w:color="auto" w:fill="FFFFFF"/>
        <w:rPr>
          <w:rFonts w:ascii="Bookman Old Style" w:hAnsi="Bookman Old Style"/>
          <w:sz w:val="20"/>
          <w:szCs w:val="20"/>
          <w:lang w:val="ro-RO"/>
        </w:rPr>
      </w:pPr>
    </w:p>
    <w:tbl>
      <w:tblPr>
        <w:tblW w:w="4950" w:type="pct"/>
        <w:tblCellMar>
          <w:left w:w="0" w:type="dxa"/>
          <w:right w:w="0" w:type="dxa"/>
        </w:tblCellMar>
        <w:tblLook w:val="00A0" w:firstRow="1" w:lastRow="0" w:firstColumn="1" w:lastColumn="0" w:noHBand="0" w:noVBand="0"/>
      </w:tblPr>
      <w:tblGrid>
        <w:gridCol w:w="9797"/>
      </w:tblGrid>
      <w:tr w:rsidR="00832C90" w:rsidRPr="00E062B6" w:rsidTr="000A77E7">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E062B6" w:rsidRDefault="00E062B6" w:rsidP="000A77E7">
            <w:pPr>
              <w:rPr>
                <w:rFonts w:ascii="Bookman Old Style" w:hAnsi="Bookman Old Style"/>
                <w:b/>
                <w:bCs/>
                <w:sz w:val="20"/>
                <w:szCs w:val="20"/>
                <w:lang w:val="ro-RO"/>
              </w:rPr>
            </w:pPr>
            <w:bookmarkStart w:id="79" w:name="relatedmd1502954759597"/>
            <w:bookmarkStart w:id="80" w:name="relatedmd"/>
            <w:bookmarkEnd w:id="79"/>
            <w:bookmarkEnd w:id="80"/>
            <w:r w:rsidRPr="00E062B6">
              <w:rPr>
                <w:b/>
                <w:bCs/>
                <w:sz w:val="32"/>
                <w:szCs w:val="32"/>
                <w:lang w:val="ro-RO"/>
              </w:rPr>
              <w:t>Metadate</w:t>
            </w:r>
          </w:p>
        </w:tc>
      </w:tr>
      <w:tr w:rsidR="00832C90" w:rsidRPr="00E062B6" w:rsidTr="000A77E7">
        <w:tc>
          <w:tcPr>
            <w:tcW w:w="0" w:type="auto"/>
            <w:tcBorders>
              <w:top w:val="single" w:sz="8" w:space="0" w:color="000000"/>
              <w:left w:val="single" w:sz="8" w:space="0" w:color="000000"/>
              <w:bottom w:val="single" w:sz="8" w:space="0" w:color="000000"/>
              <w:right w:val="single" w:sz="8" w:space="0" w:color="000000"/>
            </w:tcBorders>
            <w:shd w:val="clear" w:color="auto" w:fill="FFCC99"/>
            <w:tcMar>
              <w:top w:w="40" w:type="dxa"/>
              <w:left w:w="129" w:type="dxa"/>
              <w:bottom w:w="40" w:type="dxa"/>
              <w:right w:w="129" w:type="dxa"/>
            </w:tcMar>
          </w:tcPr>
          <w:p w:rsidR="00832C90" w:rsidRPr="00E062B6" w:rsidRDefault="00E062B6" w:rsidP="000A77E7">
            <w:pPr>
              <w:rPr>
                <w:rFonts w:ascii="Bookman Old Style" w:hAnsi="Bookman Old Style"/>
                <w:b/>
                <w:bCs/>
                <w:sz w:val="20"/>
                <w:szCs w:val="20"/>
                <w:lang w:val="ro-RO"/>
              </w:rPr>
            </w:pPr>
            <w:bookmarkStart w:id="81" w:name="annex1502954759597"/>
            <w:bookmarkStart w:id="82" w:name="annex"/>
            <w:bookmarkEnd w:id="81"/>
            <w:bookmarkEnd w:id="82"/>
            <w:r w:rsidRPr="00E062B6">
              <w:rPr>
                <w:b/>
                <w:bCs/>
                <w:sz w:val="32"/>
                <w:szCs w:val="32"/>
                <w:lang w:val="ro-RO"/>
              </w:rPr>
              <w:t>Anexe</w:t>
            </w:r>
          </w:p>
        </w:tc>
      </w:tr>
      <w:tr w:rsidR="00E062B6" w:rsidRPr="00E062B6" w:rsidTr="000A77E7">
        <w:trPr>
          <w:trHeight w:val="134"/>
        </w:trPr>
        <w:tc>
          <w:tcPr>
            <w:tcW w:w="5000" w:type="pct"/>
            <w:tcBorders>
              <w:top w:val="single" w:sz="8" w:space="0" w:color="000000"/>
              <w:left w:val="single" w:sz="8" w:space="0" w:color="000000"/>
              <w:bottom w:val="single" w:sz="8" w:space="0" w:color="000000"/>
              <w:right w:val="single" w:sz="8" w:space="0" w:color="000000"/>
            </w:tcBorders>
            <w:tcMar>
              <w:top w:w="20" w:type="dxa"/>
              <w:left w:w="129" w:type="dxa"/>
              <w:bottom w:w="20" w:type="dxa"/>
              <w:right w:w="129" w:type="dxa"/>
            </w:tcMar>
          </w:tcPr>
          <w:p w:rsidR="00E062B6" w:rsidRPr="00E062B6" w:rsidRDefault="00EB4CD5" w:rsidP="00E062B6">
            <w:pPr>
              <w:ind w:right="-315"/>
              <w:rPr>
                <w:color w:val="0F4BA0"/>
                <w:sz w:val="22"/>
                <w:szCs w:val="22"/>
                <w:u w:val="single"/>
                <w:lang w:val="ro-RO"/>
              </w:rPr>
            </w:pPr>
            <w:hyperlink r:id="rId33" w:tgtFrame="_blank" w:tooltip="trng_cvts_esqrs_ro_an1.xls" w:history="1">
              <w:r w:rsidR="00E062B6" w:rsidRPr="00E062B6">
                <w:rPr>
                  <w:color w:val="0F4BA0"/>
                  <w:sz w:val="22"/>
                  <w:szCs w:val="22"/>
                  <w:u w:val="single"/>
                  <w:lang w:val="ro-RO"/>
                </w:rPr>
                <w:t>Anexa_RO_FORPRO_Oportunitatea si punctualitatea_2015</w:t>
              </w:r>
            </w:hyperlink>
            <w:r w:rsidR="00E062B6" w:rsidRPr="00E062B6">
              <w:rPr>
                <w:sz w:val="22"/>
                <w:szCs w:val="22"/>
                <w:lang w:val="ro-RO"/>
              </w:rPr>
              <w:t xml:space="preserve"> </w:t>
            </w:r>
            <w:r w:rsidR="00E062B6" w:rsidRPr="00E062B6">
              <w:rPr>
                <w:sz w:val="22"/>
                <w:szCs w:val="22"/>
                <w:lang w:val="ro-RO"/>
              </w:rPr>
              <w:br/>
            </w:r>
            <w:hyperlink r:id="rId34" w:tgtFrame="_blank" w:tooltip="trng_cvts_esqrs_ro_an3.pdf" w:history="1">
              <w:r w:rsidR="00E062B6" w:rsidRPr="00E062B6">
                <w:rPr>
                  <w:color w:val="0F4BA0"/>
                  <w:sz w:val="22"/>
                  <w:szCs w:val="22"/>
                  <w:u w:val="single"/>
                  <w:lang w:val="ro-RO"/>
                </w:rPr>
                <w:t>RO_CHESTIONAR_FORPRO_2015</w:t>
              </w:r>
            </w:hyperlink>
            <w:r w:rsidR="00E062B6" w:rsidRPr="00E062B6">
              <w:rPr>
                <w:sz w:val="22"/>
                <w:szCs w:val="22"/>
                <w:lang w:val="ro-RO"/>
              </w:rPr>
              <w:t xml:space="preserve"> </w:t>
            </w:r>
            <w:r w:rsidR="00E062B6" w:rsidRPr="00E062B6">
              <w:rPr>
                <w:sz w:val="22"/>
                <w:szCs w:val="22"/>
                <w:lang w:val="ro-RO"/>
              </w:rPr>
              <w:br/>
            </w:r>
            <w:hyperlink r:id="rId35" w:tgtFrame="_blank" w:tooltip="trng_cvts_esqrs_ro_an4.xlsx" w:history="1">
              <w:r w:rsidR="00E062B6" w:rsidRPr="00E062B6">
                <w:rPr>
                  <w:color w:val="0F4BA0"/>
                  <w:sz w:val="22"/>
                  <w:szCs w:val="22"/>
                  <w:u w:val="single"/>
                  <w:lang w:val="ro-RO"/>
                </w:rPr>
                <w:t>RO - ESQRS tabele FORPRO_2015 (excel)</w:t>
              </w:r>
            </w:hyperlink>
          </w:p>
        </w:tc>
      </w:tr>
    </w:tbl>
    <w:p w:rsidR="00832C90" w:rsidRPr="0038436D" w:rsidRDefault="00832C90" w:rsidP="006A48FA">
      <w:pPr>
        <w:rPr>
          <w:rFonts w:ascii="Bookman Old Style" w:hAnsi="Bookman Old Style"/>
          <w:lang w:val="en-GB"/>
        </w:rPr>
      </w:pPr>
    </w:p>
    <w:p w:rsidR="00832C90" w:rsidRPr="0038436D" w:rsidRDefault="00832C90" w:rsidP="006A48FA">
      <w:pPr>
        <w:pStyle w:val="doccommon1"/>
        <w:shd w:val="clear" w:color="auto" w:fill="FFFFFF"/>
        <w:rPr>
          <w:lang w:val="en-GB"/>
        </w:rPr>
      </w:pPr>
    </w:p>
    <w:sectPr w:rsidR="00832C90" w:rsidRPr="0038436D" w:rsidSect="001B4722">
      <w:headerReference w:type="even" r:id="rId36"/>
      <w:headerReference w:type="default" r:id="rId37"/>
      <w:footerReference w:type="even" r:id="rId38"/>
      <w:footerReference w:type="default" r:id="rId39"/>
      <w:headerReference w:type="first" r:id="rId40"/>
      <w:footerReference w:type="first" r:id="rId41"/>
      <w:pgSz w:w="11906" w:h="16838"/>
      <w:pgMar w:top="1418" w:right="1134" w:bottom="1418"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CD5" w:rsidRDefault="00EB4CD5">
      <w:r>
        <w:separator/>
      </w:r>
    </w:p>
  </w:endnote>
  <w:endnote w:type="continuationSeparator" w:id="0">
    <w:p w:rsidR="00EB4CD5" w:rsidRDefault="00EB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4CC" w:rsidRDefault="00A374CC" w:rsidP="008415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74CC" w:rsidRDefault="00A374CC" w:rsidP="005478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4CC" w:rsidRPr="001B4722" w:rsidRDefault="001B4722" w:rsidP="001B4722">
    <w:pPr>
      <w:pStyle w:val="Footer"/>
      <w:rPr>
        <w:sz w:val="20"/>
        <w:szCs w:val="20"/>
      </w:rPr>
    </w:pPr>
    <w:r w:rsidRPr="001B4722">
      <w:rPr>
        <w:b/>
        <w:sz w:val="20"/>
        <w:szCs w:val="20"/>
      </w:rPr>
      <w:t>INSTITUTUL NA</w:t>
    </w:r>
    <w:r w:rsidR="007F721F">
      <w:rPr>
        <w:b/>
        <w:sz w:val="20"/>
        <w:szCs w:val="20"/>
      </w:rPr>
      <w:t>Ț</w:t>
    </w:r>
    <w:r w:rsidRPr="001B4722">
      <w:rPr>
        <w:b/>
        <w:sz w:val="20"/>
        <w:szCs w:val="20"/>
      </w:rPr>
      <w:t>IONAL DE STATISTICĂ</w:t>
    </w:r>
    <w:r w:rsidRPr="001B4722">
      <w:rPr>
        <w:b/>
        <w:sz w:val="20"/>
        <w:szCs w:val="20"/>
      </w:rPr>
      <w:tab/>
    </w:r>
    <w:r w:rsidR="00F439F3">
      <w:rPr>
        <w:b/>
        <w:sz w:val="20"/>
        <w:szCs w:val="20"/>
      </w:rPr>
      <w:t xml:space="preserve">                      </w:t>
    </w:r>
    <w:r w:rsidRPr="001B4722">
      <w:rPr>
        <w:b/>
        <w:sz w:val="20"/>
        <w:szCs w:val="20"/>
      </w:rPr>
      <w:t xml:space="preserve">     </w:t>
    </w:r>
    <w:r w:rsidRPr="001B4722">
      <w:rPr>
        <w:rStyle w:val="PageNumber"/>
        <w:sz w:val="20"/>
        <w:szCs w:val="20"/>
      </w:rPr>
      <w:fldChar w:fldCharType="begin"/>
    </w:r>
    <w:r w:rsidRPr="001B4722">
      <w:rPr>
        <w:rStyle w:val="PageNumber"/>
        <w:sz w:val="20"/>
        <w:szCs w:val="20"/>
      </w:rPr>
      <w:instrText xml:space="preserve">PAGE  </w:instrText>
    </w:r>
    <w:r w:rsidRPr="001B4722">
      <w:rPr>
        <w:rStyle w:val="PageNumber"/>
        <w:sz w:val="20"/>
        <w:szCs w:val="20"/>
      </w:rPr>
      <w:fldChar w:fldCharType="separate"/>
    </w:r>
    <w:r w:rsidR="000D7CE5">
      <w:rPr>
        <w:rStyle w:val="PageNumber"/>
        <w:noProof/>
        <w:sz w:val="20"/>
        <w:szCs w:val="20"/>
      </w:rPr>
      <w:t>2</w:t>
    </w:r>
    <w:r w:rsidRPr="001B4722">
      <w:rPr>
        <w:rStyle w:val="PageNumber"/>
        <w:sz w:val="20"/>
        <w:szCs w:val="20"/>
      </w:rPr>
      <w:fldChar w:fldCharType="end"/>
    </w:r>
    <w:r w:rsidR="00F439F3">
      <w:rPr>
        <w:b/>
        <w:sz w:val="20"/>
        <w:szCs w:val="20"/>
      </w:rPr>
      <w:t xml:space="preserve">                               </w:t>
    </w:r>
    <w:r w:rsidRPr="001B4722">
      <w:rPr>
        <w:b/>
        <w:sz w:val="20"/>
        <w:szCs w:val="20"/>
      </w:rPr>
      <w:t xml:space="preserve"> </w:t>
    </w:r>
    <w:r w:rsidR="00F439F3">
      <w:rPr>
        <w:b/>
        <w:sz w:val="20"/>
        <w:szCs w:val="20"/>
      </w:rPr>
      <w:t xml:space="preserve">                              </w:t>
    </w:r>
    <w:r w:rsidRPr="001B4722">
      <w:rPr>
        <w:b/>
        <w:sz w:val="20"/>
        <w:szCs w:val="20"/>
      </w:rPr>
      <w:t>ROMÂNIA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722" w:rsidRDefault="001B4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CD5" w:rsidRDefault="00EB4CD5">
      <w:r>
        <w:separator/>
      </w:r>
    </w:p>
  </w:footnote>
  <w:footnote w:type="continuationSeparator" w:id="0">
    <w:p w:rsidR="00EB4CD5" w:rsidRDefault="00EB4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722" w:rsidRDefault="001B47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F69" w:rsidRPr="00877F69" w:rsidRDefault="00877F69" w:rsidP="00877F69">
    <w:pPr>
      <w:pStyle w:val="Footer"/>
      <w:rPr>
        <w:sz w:val="20"/>
        <w:szCs w:val="20"/>
        <w:lang w:val="es-ES"/>
      </w:rPr>
    </w:pPr>
    <w:r w:rsidRPr="00877F69">
      <w:rPr>
        <w:b/>
        <w:sz w:val="20"/>
        <w:szCs w:val="20"/>
        <w:lang w:val="es-ES"/>
      </w:rPr>
      <w:t xml:space="preserve">ANCHETA PRIVIND FORMAREA PROFESIONALĂ CONTINUĂ    </w:t>
    </w:r>
    <w:r>
      <w:rPr>
        <w:b/>
        <w:sz w:val="20"/>
        <w:szCs w:val="20"/>
        <w:lang w:val="es-ES"/>
      </w:rPr>
      <w:t xml:space="preserve">              </w:t>
    </w:r>
    <w:r w:rsidRPr="00877F69">
      <w:rPr>
        <w:b/>
        <w:sz w:val="20"/>
        <w:szCs w:val="20"/>
        <w:lang w:val="es-ES"/>
      </w:rPr>
      <w:t xml:space="preserve">  RAPORT DE CALITATE 2015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722" w:rsidRDefault="001B4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7AA752"/>
    <w:lvl w:ilvl="0">
      <w:numFmt w:val="bullet"/>
      <w:lvlText w:val="*"/>
      <w:lvlJc w:val="left"/>
    </w:lvl>
  </w:abstractNum>
  <w:abstractNum w:abstractNumId="1" w15:restartNumberingAfterBreak="0">
    <w:nsid w:val="19AA57C5"/>
    <w:multiLevelType w:val="multilevel"/>
    <w:tmpl w:val="C394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4F61E6"/>
    <w:multiLevelType w:val="multilevel"/>
    <w:tmpl w:val="1C8EF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AE0FC5"/>
    <w:multiLevelType w:val="multilevel"/>
    <w:tmpl w:val="7C6E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8E76E4"/>
    <w:multiLevelType w:val="multilevel"/>
    <w:tmpl w:val="B692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38782C"/>
    <w:multiLevelType w:val="multilevel"/>
    <w:tmpl w:val="F93E5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321C53"/>
    <w:multiLevelType w:val="multilevel"/>
    <w:tmpl w:val="BCD25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13BFA"/>
    <w:multiLevelType w:val="multilevel"/>
    <w:tmpl w:val="30AA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DB6788"/>
    <w:multiLevelType w:val="multilevel"/>
    <w:tmpl w:val="333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5143E2"/>
    <w:multiLevelType w:val="multilevel"/>
    <w:tmpl w:val="098C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682D7B"/>
    <w:multiLevelType w:val="multilevel"/>
    <w:tmpl w:val="1E56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9738F6"/>
    <w:multiLevelType w:val="multilevel"/>
    <w:tmpl w:val="CC96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F76ED4"/>
    <w:multiLevelType w:val="multilevel"/>
    <w:tmpl w:val="2B96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A83BD6"/>
    <w:multiLevelType w:val="multilevel"/>
    <w:tmpl w:val="861C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9624EC"/>
    <w:multiLevelType w:val="multilevel"/>
    <w:tmpl w:val="474EE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5E3D98"/>
    <w:multiLevelType w:val="multilevel"/>
    <w:tmpl w:val="68D2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903A37"/>
    <w:multiLevelType w:val="multilevel"/>
    <w:tmpl w:val="09B6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C837DE"/>
    <w:multiLevelType w:val="hybridMultilevel"/>
    <w:tmpl w:val="68004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0"/>
    <w:lvlOverride w:ilvl="0">
      <w:lvl w:ilvl="0">
        <w:numFmt w:val="bullet"/>
        <w:lvlText w:val="•"/>
        <w:legacy w:legacy="1" w:legacySpace="0" w:legacyIndent="379"/>
        <w:lvlJc w:val="left"/>
        <w:rPr>
          <w:rFonts w:ascii="Times New Roman" w:hAnsi="Times New Roman" w:hint="default"/>
        </w:rPr>
      </w:lvl>
    </w:lvlOverride>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9"/>
  </w:num>
  <w:num w:numId="5">
    <w:abstractNumId w:val="14"/>
  </w:num>
  <w:num w:numId="6">
    <w:abstractNumId w:val="16"/>
  </w:num>
  <w:num w:numId="7">
    <w:abstractNumId w:val="7"/>
  </w:num>
  <w:num w:numId="8">
    <w:abstractNumId w:val="8"/>
  </w:num>
  <w:num w:numId="9">
    <w:abstractNumId w:val="1"/>
  </w:num>
  <w:num w:numId="10">
    <w:abstractNumId w:val="6"/>
  </w:num>
  <w:num w:numId="11">
    <w:abstractNumId w:val="13"/>
  </w:num>
  <w:num w:numId="12">
    <w:abstractNumId w:val="15"/>
  </w:num>
  <w:num w:numId="13">
    <w:abstractNumId w:val="2"/>
  </w:num>
  <w:num w:numId="14">
    <w:abstractNumId w:val="10"/>
  </w:num>
  <w:num w:numId="15">
    <w:abstractNumId w:val="5"/>
  </w:num>
  <w:num w:numId="16">
    <w:abstractNumId w:val="12"/>
  </w:num>
  <w:num w:numId="17">
    <w:abstractNumId w:val="3"/>
  </w:num>
  <w:num w:numId="18">
    <w:abstractNumId w:val="4"/>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778"/>
    <w:rsid w:val="00000AE7"/>
    <w:rsid w:val="00002EDD"/>
    <w:rsid w:val="00006B18"/>
    <w:rsid w:val="00006BDC"/>
    <w:rsid w:val="00013DE6"/>
    <w:rsid w:val="00014A96"/>
    <w:rsid w:val="00017ECF"/>
    <w:rsid w:val="000326BB"/>
    <w:rsid w:val="000359E9"/>
    <w:rsid w:val="000537E5"/>
    <w:rsid w:val="000537E7"/>
    <w:rsid w:val="00055350"/>
    <w:rsid w:val="00056213"/>
    <w:rsid w:val="00056CC4"/>
    <w:rsid w:val="00067D05"/>
    <w:rsid w:val="00075935"/>
    <w:rsid w:val="0007695F"/>
    <w:rsid w:val="0008045D"/>
    <w:rsid w:val="00082CD5"/>
    <w:rsid w:val="00082CE0"/>
    <w:rsid w:val="00083277"/>
    <w:rsid w:val="00083523"/>
    <w:rsid w:val="0008396D"/>
    <w:rsid w:val="00085E32"/>
    <w:rsid w:val="00087E57"/>
    <w:rsid w:val="000929BF"/>
    <w:rsid w:val="00096A15"/>
    <w:rsid w:val="00097D04"/>
    <w:rsid w:val="000A0F3D"/>
    <w:rsid w:val="000A77E7"/>
    <w:rsid w:val="000B0B77"/>
    <w:rsid w:val="000B24F3"/>
    <w:rsid w:val="000B30A8"/>
    <w:rsid w:val="000C2B12"/>
    <w:rsid w:val="000D324C"/>
    <w:rsid w:val="000D6942"/>
    <w:rsid w:val="000D7CE5"/>
    <w:rsid w:val="000E0C6E"/>
    <w:rsid w:val="000E2DF7"/>
    <w:rsid w:val="000E3B2A"/>
    <w:rsid w:val="000E408B"/>
    <w:rsid w:val="000E4B97"/>
    <w:rsid w:val="000E55C1"/>
    <w:rsid w:val="000E6398"/>
    <w:rsid w:val="000F33A9"/>
    <w:rsid w:val="000F47E3"/>
    <w:rsid w:val="000F70F2"/>
    <w:rsid w:val="00102B5C"/>
    <w:rsid w:val="00117AF0"/>
    <w:rsid w:val="00121A31"/>
    <w:rsid w:val="001223A2"/>
    <w:rsid w:val="00122ECE"/>
    <w:rsid w:val="00124441"/>
    <w:rsid w:val="00124453"/>
    <w:rsid w:val="001272C3"/>
    <w:rsid w:val="00133407"/>
    <w:rsid w:val="00134417"/>
    <w:rsid w:val="00144091"/>
    <w:rsid w:val="001474A4"/>
    <w:rsid w:val="00152528"/>
    <w:rsid w:val="00152F33"/>
    <w:rsid w:val="00153C42"/>
    <w:rsid w:val="00162649"/>
    <w:rsid w:val="00165A39"/>
    <w:rsid w:val="0017323D"/>
    <w:rsid w:val="001745A6"/>
    <w:rsid w:val="001755AA"/>
    <w:rsid w:val="00175A86"/>
    <w:rsid w:val="00176FEB"/>
    <w:rsid w:val="00181F1D"/>
    <w:rsid w:val="001837F8"/>
    <w:rsid w:val="00186DE2"/>
    <w:rsid w:val="00190B36"/>
    <w:rsid w:val="00193C48"/>
    <w:rsid w:val="001967BC"/>
    <w:rsid w:val="001975EE"/>
    <w:rsid w:val="001A33CC"/>
    <w:rsid w:val="001A3DFE"/>
    <w:rsid w:val="001A6755"/>
    <w:rsid w:val="001A7865"/>
    <w:rsid w:val="001B151D"/>
    <w:rsid w:val="001B2AD6"/>
    <w:rsid w:val="001B4722"/>
    <w:rsid w:val="001B6218"/>
    <w:rsid w:val="001D59F7"/>
    <w:rsid w:val="001E29A8"/>
    <w:rsid w:val="001F6700"/>
    <w:rsid w:val="00200362"/>
    <w:rsid w:val="00203225"/>
    <w:rsid w:val="00204D99"/>
    <w:rsid w:val="002053AE"/>
    <w:rsid w:val="00205695"/>
    <w:rsid w:val="00207414"/>
    <w:rsid w:val="0021332B"/>
    <w:rsid w:val="00217AFA"/>
    <w:rsid w:val="00221579"/>
    <w:rsid w:val="00221E4E"/>
    <w:rsid w:val="00231233"/>
    <w:rsid w:val="00243FF0"/>
    <w:rsid w:val="00246487"/>
    <w:rsid w:val="0025236D"/>
    <w:rsid w:val="00252641"/>
    <w:rsid w:val="00252AE4"/>
    <w:rsid w:val="0025571E"/>
    <w:rsid w:val="00255B75"/>
    <w:rsid w:val="002577A9"/>
    <w:rsid w:val="00261CAF"/>
    <w:rsid w:val="00263739"/>
    <w:rsid w:val="0027449B"/>
    <w:rsid w:val="0027663C"/>
    <w:rsid w:val="00284467"/>
    <w:rsid w:val="002900C4"/>
    <w:rsid w:val="002957E6"/>
    <w:rsid w:val="002A409F"/>
    <w:rsid w:val="002A5132"/>
    <w:rsid w:val="002A5F0B"/>
    <w:rsid w:val="002A7D3E"/>
    <w:rsid w:val="002B0147"/>
    <w:rsid w:val="002B23DF"/>
    <w:rsid w:val="002B3B0B"/>
    <w:rsid w:val="002C569E"/>
    <w:rsid w:val="002C75E3"/>
    <w:rsid w:val="002C7D41"/>
    <w:rsid w:val="002D053E"/>
    <w:rsid w:val="002D6E17"/>
    <w:rsid w:val="002E07D2"/>
    <w:rsid w:val="002E1FC3"/>
    <w:rsid w:val="002F47A3"/>
    <w:rsid w:val="002F6BB8"/>
    <w:rsid w:val="00304996"/>
    <w:rsid w:val="00305FE3"/>
    <w:rsid w:val="00315FDB"/>
    <w:rsid w:val="00316591"/>
    <w:rsid w:val="0031787D"/>
    <w:rsid w:val="00321CF5"/>
    <w:rsid w:val="0032373A"/>
    <w:rsid w:val="0033501F"/>
    <w:rsid w:val="00336F87"/>
    <w:rsid w:val="003379DB"/>
    <w:rsid w:val="00350269"/>
    <w:rsid w:val="003521A8"/>
    <w:rsid w:val="0036252D"/>
    <w:rsid w:val="003670FA"/>
    <w:rsid w:val="00367145"/>
    <w:rsid w:val="00367BE4"/>
    <w:rsid w:val="00372730"/>
    <w:rsid w:val="00376935"/>
    <w:rsid w:val="00377F5D"/>
    <w:rsid w:val="00381A06"/>
    <w:rsid w:val="0038436D"/>
    <w:rsid w:val="00387E43"/>
    <w:rsid w:val="00390D73"/>
    <w:rsid w:val="00391AED"/>
    <w:rsid w:val="003924FD"/>
    <w:rsid w:val="00393205"/>
    <w:rsid w:val="00393996"/>
    <w:rsid w:val="00394962"/>
    <w:rsid w:val="00395274"/>
    <w:rsid w:val="00395E2E"/>
    <w:rsid w:val="00396ED2"/>
    <w:rsid w:val="003A1CE3"/>
    <w:rsid w:val="003A1E22"/>
    <w:rsid w:val="003A6160"/>
    <w:rsid w:val="003B03F9"/>
    <w:rsid w:val="003B3BAF"/>
    <w:rsid w:val="003C2804"/>
    <w:rsid w:val="003C364B"/>
    <w:rsid w:val="003C7907"/>
    <w:rsid w:val="003D0534"/>
    <w:rsid w:val="003D41BC"/>
    <w:rsid w:val="003D69B0"/>
    <w:rsid w:val="003E01AC"/>
    <w:rsid w:val="003E106A"/>
    <w:rsid w:val="003E40CC"/>
    <w:rsid w:val="003E4353"/>
    <w:rsid w:val="003E4724"/>
    <w:rsid w:val="003E5B11"/>
    <w:rsid w:val="003F0778"/>
    <w:rsid w:val="003F5008"/>
    <w:rsid w:val="003F5322"/>
    <w:rsid w:val="0040611B"/>
    <w:rsid w:val="00406D59"/>
    <w:rsid w:val="004075AC"/>
    <w:rsid w:val="004162D2"/>
    <w:rsid w:val="00416844"/>
    <w:rsid w:val="004217D6"/>
    <w:rsid w:val="004220EA"/>
    <w:rsid w:val="00422EAE"/>
    <w:rsid w:val="00423FF5"/>
    <w:rsid w:val="00426514"/>
    <w:rsid w:val="00427DE0"/>
    <w:rsid w:val="00430474"/>
    <w:rsid w:val="00430FDA"/>
    <w:rsid w:val="004334A9"/>
    <w:rsid w:val="00433B72"/>
    <w:rsid w:val="00434117"/>
    <w:rsid w:val="00435F98"/>
    <w:rsid w:val="00440850"/>
    <w:rsid w:val="00440E00"/>
    <w:rsid w:val="004422A8"/>
    <w:rsid w:val="0044377E"/>
    <w:rsid w:val="004443B8"/>
    <w:rsid w:val="00446143"/>
    <w:rsid w:val="00450B60"/>
    <w:rsid w:val="0045270B"/>
    <w:rsid w:val="004532B5"/>
    <w:rsid w:val="004540E7"/>
    <w:rsid w:val="00454415"/>
    <w:rsid w:val="0045527A"/>
    <w:rsid w:val="00457A16"/>
    <w:rsid w:val="004608BE"/>
    <w:rsid w:val="004619B7"/>
    <w:rsid w:val="00463AE4"/>
    <w:rsid w:val="00465423"/>
    <w:rsid w:val="00466BF3"/>
    <w:rsid w:val="00470E25"/>
    <w:rsid w:val="00473DCC"/>
    <w:rsid w:val="004740E7"/>
    <w:rsid w:val="004810BB"/>
    <w:rsid w:val="0048648B"/>
    <w:rsid w:val="00487304"/>
    <w:rsid w:val="004904F6"/>
    <w:rsid w:val="004919A4"/>
    <w:rsid w:val="00494A27"/>
    <w:rsid w:val="00497B24"/>
    <w:rsid w:val="004B09E6"/>
    <w:rsid w:val="004B1E20"/>
    <w:rsid w:val="004B7BFD"/>
    <w:rsid w:val="004C1B56"/>
    <w:rsid w:val="004C5801"/>
    <w:rsid w:val="004D75A6"/>
    <w:rsid w:val="004D7E20"/>
    <w:rsid w:val="004E53A6"/>
    <w:rsid w:val="004E5713"/>
    <w:rsid w:val="004F049B"/>
    <w:rsid w:val="004F14C1"/>
    <w:rsid w:val="004F1ADD"/>
    <w:rsid w:val="004F2FD7"/>
    <w:rsid w:val="004F56A1"/>
    <w:rsid w:val="00503311"/>
    <w:rsid w:val="00504FA3"/>
    <w:rsid w:val="00506AA5"/>
    <w:rsid w:val="00507C7E"/>
    <w:rsid w:val="00514DF1"/>
    <w:rsid w:val="0051690F"/>
    <w:rsid w:val="005222C3"/>
    <w:rsid w:val="00522AF7"/>
    <w:rsid w:val="00523BAC"/>
    <w:rsid w:val="0052445A"/>
    <w:rsid w:val="00524BEC"/>
    <w:rsid w:val="00525949"/>
    <w:rsid w:val="00526E08"/>
    <w:rsid w:val="00532F75"/>
    <w:rsid w:val="00534AF5"/>
    <w:rsid w:val="005400D1"/>
    <w:rsid w:val="0054078B"/>
    <w:rsid w:val="005436E0"/>
    <w:rsid w:val="005438A9"/>
    <w:rsid w:val="0054541F"/>
    <w:rsid w:val="0054731E"/>
    <w:rsid w:val="0054771B"/>
    <w:rsid w:val="00547876"/>
    <w:rsid w:val="00547938"/>
    <w:rsid w:val="00552D25"/>
    <w:rsid w:val="005547EB"/>
    <w:rsid w:val="005564E8"/>
    <w:rsid w:val="00563E43"/>
    <w:rsid w:val="0056458C"/>
    <w:rsid w:val="00574ADC"/>
    <w:rsid w:val="005758E9"/>
    <w:rsid w:val="00575901"/>
    <w:rsid w:val="00581FF8"/>
    <w:rsid w:val="00583B4C"/>
    <w:rsid w:val="00583FD2"/>
    <w:rsid w:val="00584264"/>
    <w:rsid w:val="0058438B"/>
    <w:rsid w:val="00592CC6"/>
    <w:rsid w:val="00593083"/>
    <w:rsid w:val="00595F25"/>
    <w:rsid w:val="00596F3C"/>
    <w:rsid w:val="005A3C7C"/>
    <w:rsid w:val="005A49FC"/>
    <w:rsid w:val="005B6809"/>
    <w:rsid w:val="005B6BEB"/>
    <w:rsid w:val="005C2C52"/>
    <w:rsid w:val="005C47A2"/>
    <w:rsid w:val="005C4E32"/>
    <w:rsid w:val="005C5F48"/>
    <w:rsid w:val="005D0A19"/>
    <w:rsid w:val="005D0D42"/>
    <w:rsid w:val="005D1CF4"/>
    <w:rsid w:val="005D357A"/>
    <w:rsid w:val="005D4BF1"/>
    <w:rsid w:val="005E064B"/>
    <w:rsid w:val="005E069C"/>
    <w:rsid w:val="005F310D"/>
    <w:rsid w:val="005F4ABF"/>
    <w:rsid w:val="005F7D18"/>
    <w:rsid w:val="00602134"/>
    <w:rsid w:val="006030CA"/>
    <w:rsid w:val="00605770"/>
    <w:rsid w:val="00607C39"/>
    <w:rsid w:val="00613B9A"/>
    <w:rsid w:val="00615292"/>
    <w:rsid w:val="006206CD"/>
    <w:rsid w:val="00627318"/>
    <w:rsid w:val="0062766B"/>
    <w:rsid w:val="006307EF"/>
    <w:rsid w:val="00630DC1"/>
    <w:rsid w:val="006361D2"/>
    <w:rsid w:val="006400F2"/>
    <w:rsid w:val="00640323"/>
    <w:rsid w:val="0064092A"/>
    <w:rsid w:val="00651AA1"/>
    <w:rsid w:val="00653ED0"/>
    <w:rsid w:val="006546DC"/>
    <w:rsid w:val="00654F09"/>
    <w:rsid w:val="00661539"/>
    <w:rsid w:val="00662D81"/>
    <w:rsid w:val="006638E9"/>
    <w:rsid w:val="00666B16"/>
    <w:rsid w:val="00675F5B"/>
    <w:rsid w:val="00676F7B"/>
    <w:rsid w:val="00677171"/>
    <w:rsid w:val="006779CF"/>
    <w:rsid w:val="00677D7B"/>
    <w:rsid w:val="00682434"/>
    <w:rsid w:val="006848E9"/>
    <w:rsid w:val="006868A2"/>
    <w:rsid w:val="006916FE"/>
    <w:rsid w:val="0069235B"/>
    <w:rsid w:val="006A191E"/>
    <w:rsid w:val="006A278A"/>
    <w:rsid w:val="006A48FA"/>
    <w:rsid w:val="006A702D"/>
    <w:rsid w:val="006B7199"/>
    <w:rsid w:val="006C3009"/>
    <w:rsid w:val="006D2CD9"/>
    <w:rsid w:val="006E133D"/>
    <w:rsid w:val="006E3B63"/>
    <w:rsid w:val="006E418D"/>
    <w:rsid w:val="006E43F8"/>
    <w:rsid w:val="006E66FB"/>
    <w:rsid w:val="006E6EE0"/>
    <w:rsid w:val="006F2BF9"/>
    <w:rsid w:val="006F3CBD"/>
    <w:rsid w:val="006F3F94"/>
    <w:rsid w:val="00700695"/>
    <w:rsid w:val="00700FA0"/>
    <w:rsid w:val="00716787"/>
    <w:rsid w:val="00726B76"/>
    <w:rsid w:val="00731358"/>
    <w:rsid w:val="00742CA2"/>
    <w:rsid w:val="00742E8E"/>
    <w:rsid w:val="00745EEF"/>
    <w:rsid w:val="0075323B"/>
    <w:rsid w:val="007569A4"/>
    <w:rsid w:val="00756E57"/>
    <w:rsid w:val="00756F60"/>
    <w:rsid w:val="00763DCA"/>
    <w:rsid w:val="007645BE"/>
    <w:rsid w:val="007730C2"/>
    <w:rsid w:val="00773E8E"/>
    <w:rsid w:val="00777D0F"/>
    <w:rsid w:val="007808FE"/>
    <w:rsid w:val="00783719"/>
    <w:rsid w:val="00785F4E"/>
    <w:rsid w:val="00790B3D"/>
    <w:rsid w:val="0079342F"/>
    <w:rsid w:val="00793EF6"/>
    <w:rsid w:val="00795268"/>
    <w:rsid w:val="00795B00"/>
    <w:rsid w:val="00795FCE"/>
    <w:rsid w:val="007968A3"/>
    <w:rsid w:val="007A03BA"/>
    <w:rsid w:val="007A1C44"/>
    <w:rsid w:val="007A2A9A"/>
    <w:rsid w:val="007C03A3"/>
    <w:rsid w:val="007C1659"/>
    <w:rsid w:val="007C60E6"/>
    <w:rsid w:val="007D0CC9"/>
    <w:rsid w:val="007D14B9"/>
    <w:rsid w:val="007D5221"/>
    <w:rsid w:val="007E0437"/>
    <w:rsid w:val="007E0CAE"/>
    <w:rsid w:val="007E1A21"/>
    <w:rsid w:val="007E5C0F"/>
    <w:rsid w:val="007E6583"/>
    <w:rsid w:val="007F357E"/>
    <w:rsid w:val="007F721F"/>
    <w:rsid w:val="007F7C58"/>
    <w:rsid w:val="00803D09"/>
    <w:rsid w:val="00804386"/>
    <w:rsid w:val="0081008E"/>
    <w:rsid w:val="0081594D"/>
    <w:rsid w:val="00820EAF"/>
    <w:rsid w:val="008231B2"/>
    <w:rsid w:val="008252B1"/>
    <w:rsid w:val="00827853"/>
    <w:rsid w:val="00827E41"/>
    <w:rsid w:val="00830983"/>
    <w:rsid w:val="00832BD8"/>
    <w:rsid w:val="00832C90"/>
    <w:rsid w:val="00834C82"/>
    <w:rsid w:val="0083702A"/>
    <w:rsid w:val="008372DC"/>
    <w:rsid w:val="00840423"/>
    <w:rsid w:val="00840DD2"/>
    <w:rsid w:val="00841599"/>
    <w:rsid w:val="00841AFC"/>
    <w:rsid w:val="008456F5"/>
    <w:rsid w:val="0085059E"/>
    <w:rsid w:val="0085152E"/>
    <w:rsid w:val="00852443"/>
    <w:rsid w:val="00852A8D"/>
    <w:rsid w:val="00852E34"/>
    <w:rsid w:val="00857B41"/>
    <w:rsid w:val="00860F19"/>
    <w:rsid w:val="00867FCC"/>
    <w:rsid w:val="00875E8D"/>
    <w:rsid w:val="00877E92"/>
    <w:rsid w:val="00877F69"/>
    <w:rsid w:val="00882667"/>
    <w:rsid w:val="00882CEA"/>
    <w:rsid w:val="008831F1"/>
    <w:rsid w:val="00885875"/>
    <w:rsid w:val="00886896"/>
    <w:rsid w:val="0089272F"/>
    <w:rsid w:val="00893F89"/>
    <w:rsid w:val="008964CF"/>
    <w:rsid w:val="0089765D"/>
    <w:rsid w:val="008A011E"/>
    <w:rsid w:val="008A084B"/>
    <w:rsid w:val="008B2F12"/>
    <w:rsid w:val="008B503A"/>
    <w:rsid w:val="008C000C"/>
    <w:rsid w:val="008C16DD"/>
    <w:rsid w:val="008C7D9B"/>
    <w:rsid w:val="008D0B2E"/>
    <w:rsid w:val="008D458B"/>
    <w:rsid w:val="008D6D05"/>
    <w:rsid w:val="008E2754"/>
    <w:rsid w:val="008E6A32"/>
    <w:rsid w:val="008E7771"/>
    <w:rsid w:val="008F2BCA"/>
    <w:rsid w:val="00900D25"/>
    <w:rsid w:val="0090242C"/>
    <w:rsid w:val="00902A9C"/>
    <w:rsid w:val="009071D9"/>
    <w:rsid w:val="009155FF"/>
    <w:rsid w:val="00917ACC"/>
    <w:rsid w:val="00920DAB"/>
    <w:rsid w:val="009311FD"/>
    <w:rsid w:val="00936B0B"/>
    <w:rsid w:val="00941648"/>
    <w:rsid w:val="0094165F"/>
    <w:rsid w:val="00942043"/>
    <w:rsid w:val="00942E0C"/>
    <w:rsid w:val="0094341C"/>
    <w:rsid w:val="009444B6"/>
    <w:rsid w:val="00951C0E"/>
    <w:rsid w:val="009522C4"/>
    <w:rsid w:val="009537AA"/>
    <w:rsid w:val="00963089"/>
    <w:rsid w:val="00967099"/>
    <w:rsid w:val="009673A2"/>
    <w:rsid w:val="00973366"/>
    <w:rsid w:val="00977277"/>
    <w:rsid w:val="009773AF"/>
    <w:rsid w:val="009813B5"/>
    <w:rsid w:val="00991C1F"/>
    <w:rsid w:val="00993222"/>
    <w:rsid w:val="009945A7"/>
    <w:rsid w:val="00996714"/>
    <w:rsid w:val="009967D3"/>
    <w:rsid w:val="009A0E8A"/>
    <w:rsid w:val="009A6829"/>
    <w:rsid w:val="009B0EE8"/>
    <w:rsid w:val="009B1858"/>
    <w:rsid w:val="009B1D25"/>
    <w:rsid w:val="009B3E05"/>
    <w:rsid w:val="009B3F59"/>
    <w:rsid w:val="009C1316"/>
    <w:rsid w:val="009C306F"/>
    <w:rsid w:val="009C72EC"/>
    <w:rsid w:val="009D0C8E"/>
    <w:rsid w:val="009D3D38"/>
    <w:rsid w:val="009D401F"/>
    <w:rsid w:val="009D614B"/>
    <w:rsid w:val="009E2FF3"/>
    <w:rsid w:val="009E3654"/>
    <w:rsid w:val="009E6DBA"/>
    <w:rsid w:val="009E79A4"/>
    <w:rsid w:val="009F0CC7"/>
    <w:rsid w:val="009F1723"/>
    <w:rsid w:val="009F1ACD"/>
    <w:rsid w:val="009F278A"/>
    <w:rsid w:val="009F3CC8"/>
    <w:rsid w:val="009F4391"/>
    <w:rsid w:val="009F4AD5"/>
    <w:rsid w:val="009F7EB0"/>
    <w:rsid w:val="00A06454"/>
    <w:rsid w:val="00A07BB3"/>
    <w:rsid w:val="00A17205"/>
    <w:rsid w:val="00A22453"/>
    <w:rsid w:val="00A25361"/>
    <w:rsid w:val="00A347F7"/>
    <w:rsid w:val="00A34C2C"/>
    <w:rsid w:val="00A35C62"/>
    <w:rsid w:val="00A374CC"/>
    <w:rsid w:val="00A42972"/>
    <w:rsid w:val="00A449E4"/>
    <w:rsid w:val="00A44AB6"/>
    <w:rsid w:val="00A463CC"/>
    <w:rsid w:val="00A46DAD"/>
    <w:rsid w:val="00A47631"/>
    <w:rsid w:val="00A51F63"/>
    <w:rsid w:val="00A53515"/>
    <w:rsid w:val="00A54949"/>
    <w:rsid w:val="00A60A88"/>
    <w:rsid w:val="00A63D10"/>
    <w:rsid w:val="00A64086"/>
    <w:rsid w:val="00A64479"/>
    <w:rsid w:val="00A65015"/>
    <w:rsid w:val="00A650F0"/>
    <w:rsid w:val="00A713B4"/>
    <w:rsid w:val="00A82081"/>
    <w:rsid w:val="00A96AD4"/>
    <w:rsid w:val="00A97A45"/>
    <w:rsid w:val="00AA36D1"/>
    <w:rsid w:val="00AB5D56"/>
    <w:rsid w:val="00AC30B0"/>
    <w:rsid w:val="00AC41C7"/>
    <w:rsid w:val="00AC6B03"/>
    <w:rsid w:val="00AC7006"/>
    <w:rsid w:val="00AD2AAA"/>
    <w:rsid w:val="00AD34A1"/>
    <w:rsid w:val="00AD4046"/>
    <w:rsid w:val="00AD4A54"/>
    <w:rsid w:val="00AF46D6"/>
    <w:rsid w:val="00AF56B8"/>
    <w:rsid w:val="00B01015"/>
    <w:rsid w:val="00B03F96"/>
    <w:rsid w:val="00B04EE5"/>
    <w:rsid w:val="00B0597A"/>
    <w:rsid w:val="00B107F0"/>
    <w:rsid w:val="00B1132F"/>
    <w:rsid w:val="00B1340F"/>
    <w:rsid w:val="00B139AE"/>
    <w:rsid w:val="00B13F88"/>
    <w:rsid w:val="00B1464C"/>
    <w:rsid w:val="00B16619"/>
    <w:rsid w:val="00B214B4"/>
    <w:rsid w:val="00B2675B"/>
    <w:rsid w:val="00B2768C"/>
    <w:rsid w:val="00B30F4E"/>
    <w:rsid w:val="00B32E93"/>
    <w:rsid w:val="00B34306"/>
    <w:rsid w:val="00B34C1E"/>
    <w:rsid w:val="00B403D3"/>
    <w:rsid w:val="00B41DD7"/>
    <w:rsid w:val="00B479E4"/>
    <w:rsid w:val="00B47BEF"/>
    <w:rsid w:val="00B505F5"/>
    <w:rsid w:val="00B50FEA"/>
    <w:rsid w:val="00B54920"/>
    <w:rsid w:val="00B5502A"/>
    <w:rsid w:val="00B5630A"/>
    <w:rsid w:val="00B569D1"/>
    <w:rsid w:val="00B6061D"/>
    <w:rsid w:val="00B6310E"/>
    <w:rsid w:val="00B8046E"/>
    <w:rsid w:val="00B823D5"/>
    <w:rsid w:val="00B84391"/>
    <w:rsid w:val="00B9043E"/>
    <w:rsid w:val="00B916EF"/>
    <w:rsid w:val="00B92650"/>
    <w:rsid w:val="00B95821"/>
    <w:rsid w:val="00BA408C"/>
    <w:rsid w:val="00BA4271"/>
    <w:rsid w:val="00BA4D5D"/>
    <w:rsid w:val="00BA701C"/>
    <w:rsid w:val="00BA7375"/>
    <w:rsid w:val="00BB2FD6"/>
    <w:rsid w:val="00BB3C98"/>
    <w:rsid w:val="00BB3FA3"/>
    <w:rsid w:val="00BC28B1"/>
    <w:rsid w:val="00BC72F7"/>
    <w:rsid w:val="00BD3C8A"/>
    <w:rsid w:val="00BD69A5"/>
    <w:rsid w:val="00BD6C26"/>
    <w:rsid w:val="00BD7648"/>
    <w:rsid w:val="00BE0936"/>
    <w:rsid w:val="00BE0E05"/>
    <w:rsid w:val="00BE16BD"/>
    <w:rsid w:val="00BE2C92"/>
    <w:rsid w:val="00BE49CC"/>
    <w:rsid w:val="00BE744F"/>
    <w:rsid w:val="00BF09AD"/>
    <w:rsid w:val="00BF0A68"/>
    <w:rsid w:val="00BF1FC8"/>
    <w:rsid w:val="00BF25AB"/>
    <w:rsid w:val="00BF2D28"/>
    <w:rsid w:val="00BF48F3"/>
    <w:rsid w:val="00BF4EDE"/>
    <w:rsid w:val="00BF77CB"/>
    <w:rsid w:val="00C00F6B"/>
    <w:rsid w:val="00C01B51"/>
    <w:rsid w:val="00C062F8"/>
    <w:rsid w:val="00C0705E"/>
    <w:rsid w:val="00C07ABC"/>
    <w:rsid w:val="00C10142"/>
    <w:rsid w:val="00C14B4C"/>
    <w:rsid w:val="00C16DB7"/>
    <w:rsid w:val="00C21F72"/>
    <w:rsid w:val="00C27BCE"/>
    <w:rsid w:val="00C31416"/>
    <w:rsid w:val="00C36617"/>
    <w:rsid w:val="00C4534F"/>
    <w:rsid w:val="00C454EA"/>
    <w:rsid w:val="00C47179"/>
    <w:rsid w:val="00C47D0B"/>
    <w:rsid w:val="00C52B69"/>
    <w:rsid w:val="00C54CE4"/>
    <w:rsid w:val="00C6075F"/>
    <w:rsid w:val="00C60E09"/>
    <w:rsid w:val="00C649F5"/>
    <w:rsid w:val="00C64AF8"/>
    <w:rsid w:val="00C65181"/>
    <w:rsid w:val="00C657EE"/>
    <w:rsid w:val="00C65D5B"/>
    <w:rsid w:val="00C66C33"/>
    <w:rsid w:val="00C708D2"/>
    <w:rsid w:val="00C73A11"/>
    <w:rsid w:val="00C7428A"/>
    <w:rsid w:val="00C74E31"/>
    <w:rsid w:val="00C77DF3"/>
    <w:rsid w:val="00C805A1"/>
    <w:rsid w:val="00C8750F"/>
    <w:rsid w:val="00C96476"/>
    <w:rsid w:val="00CA07B0"/>
    <w:rsid w:val="00CA146F"/>
    <w:rsid w:val="00CA4019"/>
    <w:rsid w:val="00CA7776"/>
    <w:rsid w:val="00CB18E5"/>
    <w:rsid w:val="00CB4B56"/>
    <w:rsid w:val="00CB639E"/>
    <w:rsid w:val="00CB70A8"/>
    <w:rsid w:val="00CC1C1C"/>
    <w:rsid w:val="00CC4C77"/>
    <w:rsid w:val="00CC7A65"/>
    <w:rsid w:val="00CD1530"/>
    <w:rsid w:val="00CD38E7"/>
    <w:rsid w:val="00CD4914"/>
    <w:rsid w:val="00CE4347"/>
    <w:rsid w:val="00CE704C"/>
    <w:rsid w:val="00CE783A"/>
    <w:rsid w:val="00CE7943"/>
    <w:rsid w:val="00CE7EEE"/>
    <w:rsid w:val="00CF1C91"/>
    <w:rsid w:val="00CF2316"/>
    <w:rsid w:val="00CF6AC5"/>
    <w:rsid w:val="00D02EF3"/>
    <w:rsid w:val="00D069A3"/>
    <w:rsid w:val="00D1049F"/>
    <w:rsid w:val="00D13A35"/>
    <w:rsid w:val="00D17A0D"/>
    <w:rsid w:val="00D231AB"/>
    <w:rsid w:val="00D3004F"/>
    <w:rsid w:val="00D33356"/>
    <w:rsid w:val="00D343EB"/>
    <w:rsid w:val="00D37822"/>
    <w:rsid w:val="00D46287"/>
    <w:rsid w:val="00D51D85"/>
    <w:rsid w:val="00D524E0"/>
    <w:rsid w:val="00D54983"/>
    <w:rsid w:val="00D54B9E"/>
    <w:rsid w:val="00D55D6A"/>
    <w:rsid w:val="00D65EC9"/>
    <w:rsid w:val="00D67999"/>
    <w:rsid w:val="00D67F5E"/>
    <w:rsid w:val="00D738A8"/>
    <w:rsid w:val="00D77A21"/>
    <w:rsid w:val="00D859DE"/>
    <w:rsid w:val="00D85E48"/>
    <w:rsid w:val="00D976DB"/>
    <w:rsid w:val="00DA2281"/>
    <w:rsid w:val="00DA3014"/>
    <w:rsid w:val="00DA3332"/>
    <w:rsid w:val="00DB046D"/>
    <w:rsid w:val="00DB0F05"/>
    <w:rsid w:val="00DC6255"/>
    <w:rsid w:val="00DD1C9E"/>
    <w:rsid w:val="00DD20AF"/>
    <w:rsid w:val="00DD51BF"/>
    <w:rsid w:val="00DF03A7"/>
    <w:rsid w:val="00DF1305"/>
    <w:rsid w:val="00DF17DD"/>
    <w:rsid w:val="00DF7226"/>
    <w:rsid w:val="00DF7240"/>
    <w:rsid w:val="00E01F59"/>
    <w:rsid w:val="00E04952"/>
    <w:rsid w:val="00E062B6"/>
    <w:rsid w:val="00E133ED"/>
    <w:rsid w:val="00E154A6"/>
    <w:rsid w:val="00E21EA4"/>
    <w:rsid w:val="00E23F33"/>
    <w:rsid w:val="00E24908"/>
    <w:rsid w:val="00E336ED"/>
    <w:rsid w:val="00E359F7"/>
    <w:rsid w:val="00E36AD1"/>
    <w:rsid w:val="00E36B4E"/>
    <w:rsid w:val="00E406D5"/>
    <w:rsid w:val="00E4441B"/>
    <w:rsid w:val="00E44E59"/>
    <w:rsid w:val="00E4755A"/>
    <w:rsid w:val="00E566C1"/>
    <w:rsid w:val="00E56FD9"/>
    <w:rsid w:val="00E57CBC"/>
    <w:rsid w:val="00E57E4F"/>
    <w:rsid w:val="00E73993"/>
    <w:rsid w:val="00E75E09"/>
    <w:rsid w:val="00E76E69"/>
    <w:rsid w:val="00E8623C"/>
    <w:rsid w:val="00E86309"/>
    <w:rsid w:val="00E878ED"/>
    <w:rsid w:val="00E941A0"/>
    <w:rsid w:val="00EA033D"/>
    <w:rsid w:val="00EA07F5"/>
    <w:rsid w:val="00EA0D35"/>
    <w:rsid w:val="00EA7F08"/>
    <w:rsid w:val="00EB0C39"/>
    <w:rsid w:val="00EB1894"/>
    <w:rsid w:val="00EB4CD5"/>
    <w:rsid w:val="00EB6963"/>
    <w:rsid w:val="00EB6E7D"/>
    <w:rsid w:val="00EC01E1"/>
    <w:rsid w:val="00EC2B54"/>
    <w:rsid w:val="00EC32CB"/>
    <w:rsid w:val="00EC4896"/>
    <w:rsid w:val="00EC69F3"/>
    <w:rsid w:val="00ED1CBE"/>
    <w:rsid w:val="00ED5C8F"/>
    <w:rsid w:val="00ED64FD"/>
    <w:rsid w:val="00ED66E4"/>
    <w:rsid w:val="00EE4084"/>
    <w:rsid w:val="00EE687A"/>
    <w:rsid w:val="00EF0657"/>
    <w:rsid w:val="00EF69AF"/>
    <w:rsid w:val="00F04F60"/>
    <w:rsid w:val="00F12470"/>
    <w:rsid w:val="00F3134F"/>
    <w:rsid w:val="00F324EC"/>
    <w:rsid w:val="00F32A42"/>
    <w:rsid w:val="00F428FA"/>
    <w:rsid w:val="00F439F3"/>
    <w:rsid w:val="00F4450A"/>
    <w:rsid w:val="00F44D0D"/>
    <w:rsid w:val="00F52EAA"/>
    <w:rsid w:val="00F56C06"/>
    <w:rsid w:val="00F56D73"/>
    <w:rsid w:val="00F60529"/>
    <w:rsid w:val="00F625A9"/>
    <w:rsid w:val="00F725CD"/>
    <w:rsid w:val="00F74A62"/>
    <w:rsid w:val="00F74BF9"/>
    <w:rsid w:val="00F8178B"/>
    <w:rsid w:val="00F82A7D"/>
    <w:rsid w:val="00F86E87"/>
    <w:rsid w:val="00F871AF"/>
    <w:rsid w:val="00F974A7"/>
    <w:rsid w:val="00F978CC"/>
    <w:rsid w:val="00FA469B"/>
    <w:rsid w:val="00FA6076"/>
    <w:rsid w:val="00FA6301"/>
    <w:rsid w:val="00FA7E76"/>
    <w:rsid w:val="00FB04ED"/>
    <w:rsid w:val="00FB17AC"/>
    <w:rsid w:val="00FB24B6"/>
    <w:rsid w:val="00FB7DDB"/>
    <w:rsid w:val="00FD2655"/>
    <w:rsid w:val="00FD3735"/>
    <w:rsid w:val="00FD6D81"/>
    <w:rsid w:val="00FD6FA3"/>
    <w:rsid w:val="00FE450E"/>
    <w:rsid w:val="00FE4EB8"/>
    <w:rsid w:val="00FF1460"/>
    <w:rsid w:val="00FF62C4"/>
  </w:rsids>
  <m:mathPr>
    <m:mathFont m:val="Cambria Math"/>
    <m:brkBin m:val="before"/>
    <m:brkBinSub m:val="--"/>
    <m:smallFrac m:val="0"/>
    <m:dispDef/>
    <m:lMargin m:val="0"/>
    <m:rMargin m:val="0"/>
    <m:defJc m:val="centerGroup"/>
    <m:wrapIndent m:val="1440"/>
    <m:intLim m:val="subSup"/>
    <m:naryLim m:val="undOvr"/>
  </m:mathPr>
  <w:attachedSchema w:val="http://xml.apache.org/xalan"/>
  <w:attachedSchema w:val="http://www.SDMX.org/resources/SDMXML/schemas/v2_0/common"/>
  <w:attachedSchema w:val="http://www.SDMX.org/resources/SDMXML/schemas/v2_0/genericmetadata"/>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D45FCD3-0AF3-4BBB-934E-631B5DCC2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7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rsid w:val="009F278A"/>
    <w:pPr>
      <w:spacing w:before="100" w:beforeAutospacing="1" w:after="100" w:afterAutospacing="1"/>
    </w:pPr>
  </w:style>
  <w:style w:type="paragraph" w:customStyle="1" w:styleId="doccommon">
    <w:name w:val="doccommon"/>
    <w:basedOn w:val="Normal"/>
    <w:uiPriority w:val="99"/>
    <w:rsid w:val="009F278A"/>
    <w:rPr>
      <w:sz w:val="22"/>
      <w:szCs w:val="22"/>
    </w:rPr>
  </w:style>
  <w:style w:type="paragraph" w:styleId="NormalWeb">
    <w:name w:val="Normal (Web)"/>
    <w:basedOn w:val="Normal"/>
    <w:uiPriority w:val="99"/>
    <w:semiHidden/>
    <w:rsid w:val="009F278A"/>
    <w:pPr>
      <w:spacing w:before="100" w:beforeAutospacing="1" w:after="100" w:afterAutospacing="1"/>
    </w:pPr>
  </w:style>
  <w:style w:type="paragraph" w:customStyle="1" w:styleId="section1">
    <w:name w:val="section1"/>
    <w:basedOn w:val="Normal"/>
    <w:uiPriority w:val="99"/>
    <w:rsid w:val="009F278A"/>
    <w:pPr>
      <w:shd w:val="clear" w:color="auto" w:fill="FFFFFF"/>
      <w:spacing w:before="100" w:beforeAutospacing="1" w:after="100" w:afterAutospacing="1"/>
    </w:pPr>
  </w:style>
  <w:style w:type="paragraph" w:customStyle="1" w:styleId="heading">
    <w:name w:val="heading"/>
    <w:basedOn w:val="Normal"/>
    <w:uiPriority w:val="99"/>
    <w:rsid w:val="009F278A"/>
    <w:pPr>
      <w:shd w:val="clear" w:color="auto" w:fill="FFCC99"/>
      <w:jc w:val="center"/>
    </w:pPr>
    <w:rPr>
      <w:color w:val="000000"/>
      <w:sz w:val="26"/>
      <w:szCs w:val="26"/>
    </w:rPr>
  </w:style>
  <w:style w:type="paragraph" w:customStyle="1" w:styleId="tblbottom">
    <w:name w:val="tblbottom"/>
    <w:basedOn w:val="Normal"/>
    <w:uiPriority w:val="99"/>
    <w:rsid w:val="009F278A"/>
    <w:pPr>
      <w:spacing w:before="100" w:beforeAutospacing="1" w:after="100" w:afterAutospacing="1"/>
    </w:pPr>
  </w:style>
  <w:style w:type="paragraph" w:customStyle="1" w:styleId="cl-level1">
    <w:name w:val="cl-level1"/>
    <w:basedOn w:val="Normal"/>
    <w:uiPriority w:val="99"/>
    <w:rsid w:val="009F278A"/>
    <w:pPr>
      <w:pBdr>
        <w:top w:val="single" w:sz="8" w:space="2" w:color="000000"/>
        <w:left w:val="single" w:sz="8" w:space="6" w:color="000000"/>
        <w:bottom w:val="single" w:sz="8" w:space="2" w:color="000000"/>
        <w:right w:val="single" w:sz="8" w:space="6" w:color="000000"/>
      </w:pBdr>
      <w:shd w:val="clear" w:color="auto" w:fill="FFCC99"/>
      <w:textAlignment w:val="top"/>
    </w:pPr>
    <w:rPr>
      <w:b/>
      <w:bCs/>
      <w:color w:val="000000"/>
      <w:sz w:val="32"/>
      <w:szCs w:val="32"/>
    </w:rPr>
  </w:style>
  <w:style w:type="paragraph" w:customStyle="1" w:styleId="cl-level1-noborder">
    <w:name w:val="cl-level1-noborder"/>
    <w:basedOn w:val="Normal"/>
    <w:uiPriority w:val="99"/>
    <w:rsid w:val="009F278A"/>
    <w:rPr>
      <w:b/>
      <w:bCs/>
      <w:sz w:val="32"/>
      <w:szCs w:val="32"/>
    </w:rPr>
  </w:style>
  <w:style w:type="paragraph" w:customStyle="1" w:styleId="cl-level2">
    <w:name w:val="cl-level2"/>
    <w:basedOn w:val="Normal"/>
    <w:uiPriority w:val="99"/>
    <w:rsid w:val="009F278A"/>
    <w:pPr>
      <w:pBdr>
        <w:top w:val="single" w:sz="8" w:space="1" w:color="000000"/>
        <w:left w:val="single" w:sz="8" w:space="6" w:color="000000"/>
        <w:bottom w:val="single" w:sz="8" w:space="1" w:color="000000"/>
        <w:right w:val="single" w:sz="8" w:space="6" w:color="000000"/>
      </w:pBdr>
      <w:shd w:val="clear" w:color="auto" w:fill="FFFFCC"/>
      <w:spacing w:before="100" w:beforeAutospacing="1" w:after="100" w:afterAutospacing="1"/>
      <w:textAlignment w:val="top"/>
    </w:pPr>
    <w:rPr>
      <w:b/>
      <w:bCs/>
      <w:sz w:val="22"/>
      <w:szCs w:val="22"/>
    </w:rPr>
  </w:style>
  <w:style w:type="paragraph" w:customStyle="1" w:styleId="cl-level3">
    <w:name w:val="cl-level3"/>
    <w:basedOn w:val="Normal"/>
    <w:uiPriority w:val="99"/>
    <w:rsid w:val="009F278A"/>
    <w:pPr>
      <w:pBdr>
        <w:top w:val="single" w:sz="8" w:space="1" w:color="000000"/>
        <w:left w:val="single" w:sz="8" w:space="25" w:color="000000"/>
        <w:bottom w:val="single" w:sz="8" w:space="1" w:color="000000"/>
        <w:right w:val="single" w:sz="8" w:space="6" w:color="000000"/>
      </w:pBdr>
      <w:shd w:val="clear" w:color="auto" w:fill="FFFFDD"/>
      <w:spacing w:before="100" w:beforeAutospacing="1" w:after="100" w:afterAutospacing="1"/>
      <w:textAlignment w:val="top"/>
    </w:pPr>
    <w:rPr>
      <w:b/>
      <w:bCs/>
      <w:sz w:val="22"/>
      <w:szCs w:val="22"/>
    </w:rPr>
  </w:style>
  <w:style w:type="paragraph" w:customStyle="1" w:styleId="cl-level4">
    <w:name w:val="cl-level4"/>
    <w:basedOn w:val="Normal"/>
    <w:uiPriority w:val="99"/>
    <w:rsid w:val="009F278A"/>
    <w:pPr>
      <w:pBdr>
        <w:top w:val="single" w:sz="8" w:space="1" w:color="000000"/>
        <w:left w:val="single" w:sz="8" w:space="25" w:color="000000"/>
        <w:bottom w:val="single" w:sz="8" w:space="1" w:color="000000"/>
        <w:right w:val="single" w:sz="8" w:space="6" w:color="000000"/>
      </w:pBdr>
      <w:shd w:val="clear" w:color="auto" w:fill="FFFFDD"/>
      <w:spacing w:before="100" w:beforeAutospacing="1" w:after="100" w:afterAutospacing="1"/>
      <w:textAlignment w:val="top"/>
    </w:pPr>
    <w:rPr>
      <w:b/>
      <w:bCs/>
      <w:sz w:val="22"/>
      <w:szCs w:val="22"/>
    </w:rPr>
  </w:style>
  <w:style w:type="paragraph" w:customStyle="1" w:styleId="cl-content">
    <w:name w:val="cl-content"/>
    <w:basedOn w:val="Normal"/>
    <w:uiPriority w:val="99"/>
    <w:rsid w:val="009F278A"/>
    <w:pPr>
      <w:pBdr>
        <w:top w:val="single" w:sz="8" w:space="1" w:color="000000"/>
        <w:left w:val="single" w:sz="8" w:space="6" w:color="000000"/>
        <w:bottom w:val="single" w:sz="8" w:space="1" w:color="000000"/>
        <w:right w:val="single" w:sz="8" w:space="6" w:color="000000"/>
      </w:pBdr>
      <w:spacing w:before="100" w:beforeAutospacing="1" w:after="100" w:afterAutospacing="1"/>
      <w:textAlignment w:val="top"/>
    </w:pPr>
    <w:rPr>
      <w:sz w:val="22"/>
      <w:szCs w:val="22"/>
    </w:rPr>
  </w:style>
  <w:style w:type="paragraph" w:customStyle="1" w:styleId="annexeshead">
    <w:name w:val="annexeshead"/>
    <w:basedOn w:val="Normal"/>
    <w:uiPriority w:val="99"/>
    <w:rsid w:val="009F278A"/>
    <w:pPr>
      <w:spacing w:before="100" w:beforeAutospacing="1" w:after="100" w:afterAutospacing="1"/>
    </w:pPr>
    <w:rPr>
      <w:b/>
      <w:bCs/>
      <w:sz w:val="26"/>
      <w:szCs w:val="26"/>
    </w:rPr>
  </w:style>
  <w:style w:type="paragraph" w:customStyle="1" w:styleId="padding-10">
    <w:name w:val="padding-10"/>
    <w:basedOn w:val="Normal"/>
    <w:uiPriority w:val="99"/>
    <w:rsid w:val="009F278A"/>
    <w:pPr>
      <w:spacing w:before="100" w:beforeAutospacing="1" w:after="100" w:afterAutospacing="1"/>
    </w:pPr>
  </w:style>
  <w:style w:type="paragraph" w:customStyle="1" w:styleId="relatedmdbox">
    <w:name w:val="relatedmdbox"/>
    <w:basedOn w:val="Normal"/>
    <w:uiPriority w:val="99"/>
    <w:rsid w:val="009F278A"/>
    <w:pPr>
      <w:spacing w:before="100" w:beforeAutospacing="1" w:after="100" w:afterAutospacing="1"/>
      <w:ind w:right="150"/>
    </w:pPr>
  </w:style>
  <w:style w:type="paragraph" w:customStyle="1" w:styleId="heading1">
    <w:name w:val="heading1"/>
    <w:basedOn w:val="Normal"/>
    <w:uiPriority w:val="99"/>
    <w:rsid w:val="009F278A"/>
    <w:pPr>
      <w:shd w:val="clear" w:color="auto" w:fill="FFCC99"/>
      <w:jc w:val="center"/>
    </w:pPr>
    <w:rPr>
      <w:color w:val="000000"/>
      <w:sz w:val="26"/>
      <w:szCs w:val="26"/>
    </w:rPr>
  </w:style>
  <w:style w:type="paragraph" w:customStyle="1" w:styleId="doccommon1">
    <w:name w:val="doccommon1"/>
    <w:basedOn w:val="Normal"/>
    <w:uiPriority w:val="99"/>
    <w:rsid w:val="009F278A"/>
    <w:pPr>
      <w:spacing w:before="30" w:after="30"/>
    </w:pPr>
    <w:rPr>
      <w:sz w:val="22"/>
      <w:szCs w:val="22"/>
    </w:rPr>
  </w:style>
  <w:style w:type="character" w:customStyle="1" w:styleId="bold">
    <w:name w:val="bold"/>
    <w:uiPriority w:val="99"/>
    <w:rsid w:val="00B13F88"/>
    <w:rPr>
      <w:rFonts w:cs="Times New Roman"/>
    </w:rPr>
  </w:style>
  <w:style w:type="character" w:customStyle="1" w:styleId="hidden">
    <w:name w:val="hidden"/>
    <w:uiPriority w:val="99"/>
    <w:rsid w:val="00A51F63"/>
    <w:rPr>
      <w:rFonts w:cs="Times New Roman"/>
    </w:rPr>
  </w:style>
  <w:style w:type="character" w:customStyle="1" w:styleId="shorttext">
    <w:name w:val="short_text"/>
    <w:uiPriority w:val="99"/>
    <w:rsid w:val="00006BDC"/>
    <w:rPr>
      <w:rFonts w:cs="Times New Roman"/>
    </w:rPr>
  </w:style>
  <w:style w:type="character" w:styleId="Emphasis">
    <w:name w:val="Emphasis"/>
    <w:qFormat/>
    <w:rsid w:val="008B2F12"/>
    <w:rPr>
      <w:rFonts w:cs="Times New Roman"/>
      <w:i/>
      <w:iCs/>
    </w:rPr>
  </w:style>
  <w:style w:type="character" w:styleId="Strong">
    <w:name w:val="Strong"/>
    <w:qFormat/>
    <w:rsid w:val="00B0597A"/>
    <w:rPr>
      <w:rFonts w:cs="Times New Roman"/>
      <w:b/>
      <w:bCs/>
    </w:rPr>
  </w:style>
  <w:style w:type="character" w:styleId="Hyperlink">
    <w:name w:val="Hyperlink"/>
    <w:uiPriority w:val="99"/>
    <w:rsid w:val="00387E43"/>
    <w:rPr>
      <w:rFonts w:cs="Times New Roman"/>
      <w:color w:val="0000FF"/>
      <w:u w:val="single"/>
    </w:rPr>
  </w:style>
  <w:style w:type="paragraph" w:styleId="Footer">
    <w:name w:val="footer"/>
    <w:basedOn w:val="Normal"/>
    <w:link w:val="FooterChar"/>
    <w:rsid w:val="00547876"/>
    <w:pPr>
      <w:tabs>
        <w:tab w:val="center" w:pos="4320"/>
        <w:tab w:val="right" w:pos="8640"/>
      </w:tabs>
    </w:pPr>
  </w:style>
  <w:style w:type="character" w:customStyle="1" w:styleId="FooterChar">
    <w:name w:val="Footer Char"/>
    <w:link w:val="Footer"/>
    <w:uiPriority w:val="99"/>
    <w:semiHidden/>
    <w:locked/>
    <w:rsid w:val="008456F5"/>
    <w:rPr>
      <w:rFonts w:cs="Times New Roman"/>
      <w:sz w:val="24"/>
      <w:szCs w:val="24"/>
    </w:rPr>
  </w:style>
  <w:style w:type="character" w:styleId="PageNumber">
    <w:name w:val="page number"/>
    <w:rsid w:val="00547876"/>
    <w:rPr>
      <w:rFonts w:cs="Times New Roman"/>
    </w:rPr>
  </w:style>
  <w:style w:type="paragraph" w:styleId="Header">
    <w:name w:val="header"/>
    <w:basedOn w:val="Normal"/>
    <w:link w:val="HeaderChar"/>
    <w:uiPriority w:val="99"/>
    <w:rsid w:val="00547876"/>
    <w:pPr>
      <w:tabs>
        <w:tab w:val="center" w:pos="4320"/>
        <w:tab w:val="right" w:pos="8640"/>
      </w:tabs>
    </w:pPr>
  </w:style>
  <w:style w:type="character" w:customStyle="1" w:styleId="HeaderChar">
    <w:name w:val="Header Char"/>
    <w:link w:val="Header"/>
    <w:uiPriority w:val="99"/>
    <w:semiHidden/>
    <w:locked/>
    <w:rsid w:val="008456F5"/>
    <w:rPr>
      <w:rFonts w:cs="Times New Roman"/>
      <w:sz w:val="24"/>
      <w:szCs w:val="24"/>
    </w:rPr>
  </w:style>
  <w:style w:type="paragraph" w:styleId="BalloonText">
    <w:name w:val="Balloon Text"/>
    <w:basedOn w:val="Normal"/>
    <w:link w:val="BalloonTextChar"/>
    <w:uiPriority w:val="99"/>
    <w:semiHidden/>
    <w:rsid w:val="006A191E"/>
    <w:rPr>
      <w:rFonts w:ascii="Tahoma" w:hAnsi="Tahoma" w:cs="Tahoma"/>
      <w:sz w:val="16"/>
      <w:szCs w:val="16"/>
    </w:rPr>
  </w:style>
  <w:style w:type="character" w:customStyle="1" w:styleId="BalloonTextChar">
    <w:name w:val="Balloon Text Char"/>
    <w:link w:val="BalloonText"/>
    <w:uiPriority w:val="99"/>
    <w:semiHidden/>
    <w:locked/>
    <w:rsid w:val="0054731E"/>
    <w:rPr>
      <w:rFonts w:cs="Times New Roman"/>
      <w:sz w:val="2"/>
    </w:rPr>
  </w:style>
  <w:style w:type="character" w:customStyle="1" w:styleId="FontStyle178">
    <w:name w:val="Font Style178"/>
    <w:uiPriority w:val="99"/>
    <w:rsid w:val="00393996"/>
    <w:rPr>
      <w:rFonts w:ascii="Times New Roman" w:hAnsi="Times New Roman" w:cs="Times New Roman"/>
      <w:color w:val="000000"/>
      <w:sz w:val="22"/>
      <w:szCs w:val="22"/>
    </w:rPr>
  </w:style>
  <w:style w:type="character" w:styleId="FollowedHyperlink">
    <w:name w:val="FollowedHyperlink"/>
    <w:uiPriority w:val="99"/>
    <w:rsid w:val="00627318"/>
    <w:rPr>
      <w:rFonts w:cs="Times New Roman"/>
      <w:color w:val="800080"/>
      <w:u w:val="single"/>
    </w:rPr>
  </w:style>
  <w:style w:type="paragraph" w:styleId="BodyText">
    <w:name w:val="Body Text"/>
    <w:basedOn w:val="Normal"/>
    <w:link w:val="BodyTextChar"/>
    <w:uiPriority w:val="99"/>
    <w:rsid w:val="0094165F"/>
    <w:pPr>
      <w:pBdr>
        <w:top w:val="single" w:sz="6" w:space="1" w:color="auto"/>
        <w:left w:val="single" w:sz="6" w:space="1" w:color="auto"/>
        <w:bottom w:val="single" w:sz="6" w:space="1" w:color="auto"/>
        <w:right w:val="single" w:sz="6" w:space="1" w:color="auto"/>
      </w:pBdr>
      <w:spacing w:before="60" w:after="60"/>
      <w:jc w:val="center"/>
    </w:pPr>
    <w:rPr>
      <w:rFonts w:eastAsia="SimSun"/>
      <w:b/>
      <w:bCs/>
      <w:lang w:eastAsia="en-GB"/>
    </w:rPr>
  </w:style>
  <w:style w:type="character" w:customStyle="1" w:styleId="BodyTextChar">
    <w:name w:val="Body Text Char"/>
    <w:link w:val="BodyText"/>
    <w:uiPriority w:val="99"/>
    <w:semiHidden/>
    <w:locked/>
    <w:rsid w:val="0054731E"/>
    <w:rPr>
      <w:rFonts w:cs="Times New Roman"/>
      <w:sz w:val="24"/>
      <w:szCs w:val="24"/>
    </w:rPr>
  </w:style>
  <w:style w:type="paragraph" w:customStyle="1" w:styleId="Style16">
    <w:name w:val="Style16"/>
    <w:basedOn w:val="Normal"/>
    <w:uiPriority w:val="99"/>
    <w:rsid w:val="00DD1C9E"/>
    <w:pPr>
      <w:widowControl w:val="0"/>
      <w:autoSpaceDE w:val="0"/>
      <w:autoSpaceDN w:val="0"/>
      <w:adjustRightInd w:val="0"/>
      <w:spacing w:line="278" w:lineRule="exact"/>
      <w:jc w:val="both"/>
    </w:pPr>
    <w:rPr>
      <w:rFonts w:ascii="Arial" w:hAnsi="Arial"/>
    </w:rPr>
  </w:style>
  <w:style w:type="paragraph" w:customStyle="1" w:styleId="Style24">
    <w:name w:val="Style24"/>
    <w:basedOn w:val="Normal"/>
    <w:uiPriority w:val="99"/>
    <w:rsid w:val="00DD1C9E"/>
    <w:pPr>
      <w:widowControl w:val="0"/>
      <w:autoSpaceDE w:val="0"/>
      <w:autoSpaceDN w:val="0"/>
      <w:adjustRightInd w:val="0"/>
      <w:spacing w:line="274" w:lineRule="exact"/>
      <w:ind w:hanging="336"/>
      <w:jc w:val="both"/>
    </w:pPr>
    <w:rPr>
      <w:rFonts w:ascii="Arial" w:hAnsi="Arial"/>
    </w:rPr>
  </w:style>
  <w:style w:type="paragraph" w:customStyle="1" w:styleId="Style35">
    <w:name w:val="Style35"/>
    <w:basedOn w:val="Normal"/>
    <w:uiPriority w:val="99"/>
    <w:rsid w:val="00DD1C9E"/>
    <w:pPr>
      <w:widowControl w:val="0"/>
      <w:autoSpaceDE w:val="0"/>
      <w:autoSpaceDN w:val="0"/>
      <w:adjustRightInd w:val="0"/>
      <w:jc w:val="both"/>
    </w:pPr>
    <w:rPr>
      <w:rFonts w:ascii="Arial" w:hAnsi="Arial"/>
    </w:rPr>
  </w:style>
  <w:style w:type="paragraph" w:customStyle="1" w:styleId="Style77">
    <w:name w:val="Style77"/>
    <w:basedOn w:val="Normal"/>
    <w:uiPriority w:val="99"/>
    <w:rsid w:val="00DD1C9E"/>
    <w:pPr>
      <w:widowControl w:val="0"/>
      <w:autoSpaceDE w:val="0"/>
      <w:autoSpaceDN w:val="0"/>
      <w:adjustRightInd w:val="0"/>
      <w:spacing w:line="271" w:lineRule="exact"/>
      <w:ind w:hanging="216"/>
    </w:pPr>
    <w:rPr>
      <w:rFonts w:ascii="Arial" w:hAnsi="Arial"/>
    </w:rPr>
  </w:style>
  <w:style w:type="character" w:customStyle="1" w:styleId="FontStyle176">
    <w:name w:val="Font Style176"/>
    <w:uiPriority w:val="99"/>
    <w:rsid w:val="00DD1C9E"/>
    <w:rPr>
      <w:rFonts w:ascii="Times New Roman" w:hAnsi="Times New Roman" w:cs="Times New Roman"/>
      <w:b/>
      <w:bCs/>
      <w:color w:val="000000"/>
      <w:sz w:val="22"/>
      <w:szCs w:val="22"/>
    </w:rPr>
  </w:style>
  <w:style w:type="character" w:customStyle="1" w:styleId="FontStyle177">
    <w:name w:val="Font Style177"/>
    <w:uiPriority w:val="99"/>
    <w:rsid w:val="00DD1C9E"/>
    <w:rPr>
      <w:rFonts w:ascii="Times New Roman" w:hAnsi="Times New Roman" w:cs="Times New Roman"/>
      <w:b/>
      <w:bCs/>
      <w:i/>
      <w:iCs/>
      <w:color w:val="000000"/>
      <w:sz w:val="22"/>
      <w:szCs w:val="22"/>
    </w:rPr>
  </w:style>
  <w:style w:type="paragraph" w:customStyle="1" w:styleId="Style64">
    <w:name w:val="Style64"/>
    <w:basedOn w:val="Normal"/>
    <w:uiPriority w:val="99"/>
    <w:rsid w:val="004619B7"/>
    <w:pPr>
      <w:widowControl w:val="0"/>
      <w:autoSpaceDE w:val="0"/>
      <w:autoSpaceDN w:val="0"/>
      <w:adjustRightInd w:val="0"/>
    </w:pPr>
    <w:rPr>
      <w:rFonts w:ascii="Arial" w:hAnsi="Arial"/>
    </w:rPr>
  </w:style>
  <w:style w:type="character" w:customStyle="1" w:styleId="FontStyle151">
    <w:name w:val="Font Style151"/>
    <w:uiPriority w:val="99"/>
    <w:rsid w:val="004619B7"/>
    <w:rPr>
      <w:rFonts w:ascii="Times New Roman" w:hAnsi="Times New Roman" w:cs="Times New Roman"/>
      <w:i/>
      <w:iCs/>
      <w:color w:val="000000"/>
      <w:sz w:val="22"/>
      <w:szCs w:val="22"/>
    </w:rPr>
  </w:style>
  <w:style w:type="paragraph" w:customStyle="1" w:styleId="Style30">
    <w:name w:val="Style30"/>
    <w:basedOn w:val="Normal"/>
    <w:uiPriority w:val="99"/>
    <w:rsid w:val="00C60E09"/>
    <w:pPr>
      <w:widowControl w:val="0"/>
      <w:autoSpaceDE w:val="0"/>
      <w:autoSpaceDN w:val="0"/>
      <w:adjustRightInd w:val="0"/>
      <w:spacing w:line="552" w:lineRule="exact"/>
      <w:ind w:firstLine="1498"/>
    </w:pPr>
    <w:rPr>
      <w:rFonts w:ascii="Arial" w:hAnsi="Arial"/>
    </w:rPr>
  </w:style>
  <w:style w:type="paragraph" w:customStyle="1" w:styleId="Style5">
    <w:name w:val="Style5"/>
    <w:basedOn w:val="Normal"/>
    <w:uiPriority w:val="99"/>
    <w:rsid w:val="00CE704C"/>
    <w:pPr>
      <w:widowControl w:val="0"/>
      <w:autoSpaceDE w:val="0"/>
      <w:autoSpaceDN w:val="0"/>
      <w:adjustRightInd w:val="0"/>
      <w:jc w:val="both"/>
    </w:pPr>
    <w:rPr>
      <w:rFonts w:ascii="Arial" w:hAnsi="Arial"/>
    </w:rPr>
  </w:style>
  <w:style w:type="paragraph" w:customStyle="1" w:styleId="Style33">
    <w:name w:val="Style33"/>
    <w:basedOn w:val="Normal"/>
    <w:uiPriority w:val="99"/>
    <w:rsid w:val="00CE704C"/>
    <w:pPr>
      <w:widowControl w:val="0"/>
      <w:autoSpaceDE w:val="0"/>
      <w:autoSpaceDN w:val="0"/>
      <w:adjustRightInd w:val="0"/>
      <w:spacing w:line="274" w:lineRule="exact"/>
      <w:ind w:hanging="341"/>
      <w:jc w:val="both"/>
    </w:pPr>
    <w:rPr>
      <w:rFonts w:ascii="Arial" w:hAnsi="Arial"/>
    </w:rPr>
  </w:style>
  <w:style w:type="character" w:styleId="CommentReference">
    <w:name w:val="annotation reference"/>
    <w:uiPriority w:val="99"/>
    <w:semiHidden/>
    <w:rsid w:val="00A54949"/>
    <w:rPr>
      <w:rFonts w:cs="Times New Roman"/>
      <w:sz w:val="16"/>
      <w:szCs w:val="16"/>
    </w:rPr>
  </w:style>
  <w:style w:type="paragraph" w:styleId="CommentText">
    <w:name w:val="annotation text"/>
    <w:basedOn w:val="Normal"/>
    <w:link w:val="CommentTextChar"/>
    <w:uiPriority w:val="99"/>
    <w:semiHidden/>
    <w:rsid w:val="00A54949"/>
    <w:rPr>
      <w:sz w:val="20"/>
      <w:szCs w:val="20"/>
    </w:rPr>
  </w:style>
  <w:style w:type="character" w:customStyle="1" w:styleId="CommentTextChar">
    <w:name w:val="Comment Text Char"/>
    <w:link w:val="CommentText"/>
    <w:uiPriority w:val="99"/>
    <w:semiHidden/>
    <w:locked/>
    <w:rsid w:val="008A011E"/>
    <w:rPr>
      <w:rFonts w:cs="Times New Roman"/>
      <w:sz w:val="20"/>
      <w:szCs w:val="20"/>
    </w:rPr>
  </w:style>
  <w:style w:type="paragraph" w:styleId="CommentSubject">
    <w:name w:val="annotation subject"/>
    <w:basedOn w:val="CommentText"/>
    <w:next w:val="CommentText"/>
    <w:link w:val="CommentSubjectChar"/>
    <w:uiPriority w:val="99"/>
    <w:semiHidden/>
    <w:rsid w:val="00A54949"/>
    <w:rPr>
      <w:b/>
      <w:bCs/>
    </w:rPr>
  </w:style>
  <w:style w:type="character" w:customStyle="1" w:styleId="CommentSubjectChar">
    <w:name w:val="Comment Subject Char"/>
    <w:link w:val="CommentSubject"/>
    <w:uiPriority w:val="99"/>
    <w:semiHidden/>
    <w:locked/>
    <w:rsid w:val="008A011E"/>
    <w:rPr>
      <w:rFonts w:cs="Times New Roman"/>
      <w:b/>
      <w:bCs/>
      <w:sz w:val="20"/>
      <w:szCs w:val="20"/>
    </w:rPr>
  </w:style>
  <w:style w:type="table" w:styleId="TableGrid">
    <w:name w:val="Table Grid"/>
    <w:basedOn w:val="TableNormal"/>
    <w:uiPriority w:val="99"/>
    <w:locked/>
    <w:rsid w:val="0075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B30F4E"/>
    <w:pPr>
      <w:spacing w:after="120" w:line="480" w:lineRule="auto"/>
    </w:pPr>
  </w:style>
  <w:style w:type="character" w:customStyle="1" w:styleId="BodyText2Char">
    <w:name w:val="Body Text 2 Char"/>
    <w:link w:val="BodyText2"/>
    <w:uiPriority w:val="99"/>
    <w:semiHidden/>
    <w:locked/>
    <w:rsid w:val="005B6BEB"/>
    <w:rPr>
      <w:rFonts w:cs="Times New Roman"/>
      <w:sz w:val="24"/>
      <w:szCs w:val="24"/>
    </w:rPr>
  </w:style>
  <w:style w:type="character" w:customStyle="1" w:styleId="apple-converted-space">
    <w:name w:val="apple-converted-space"/>
    <w:rsid w:val="00F625A9"/>
    <w:rPr>
      <w:rFonts w:cs="Times New Roman"/>
    </w:rPr>
  </w:style>
  <w:style w:type="paragraph" w:styleId="BodyTextIndent">
    <w:name w:val="Body Text Indent"/>
    <w:basedOn w:val="Normal"/>
    <w:link w:val="BodyTextIndentChar"/>
    <w:uiPriority w:val="99"/>
    <w:rsid w:val="00942E0C"/>
    <w:pPr>
      <w:spacing w:after="120"/>
      <w:ind w:left="283"/>
    </w:pPr>
    <w:rPr>
      <w:lang w:val="en-GB" w:eastAsia="en-GB"/>
    </w:rPr>
  </w:style>
  <w:style w:type="character" w:customStyle="1" w:styleId="BodyTextIndentChar">
    <w:name w:val="Body Text Indent Char"/>
    <w:link w:val="BodyTextIndent"/>
    <w:uiPriority w:val="99"/>
    <w:semiHidden/>
    <w:locked/>
    <w:rsid w:val="008C16DD"/>
    <w:rPr>
      <w:rFonts w:cs="Times New Roman"/>
      <w:sz w:val="24"/>
      <w:szCs w:val="24"/>
    </w:rPr>
  </w:style>
  <w:style w:type="paragraph" w:customStyle="1" w:styleId="Style49">
    <w:name w:val="Style49"/>
    <w:basedOn w:val="Normal"/>
    <w:uiPriority w:val="99"/>
    <w:rsid w:val="004E53A6"/>
    <w:pPr>
      <w:widowControl w:val="0"/>
      <w:autoSpaceDE w:val="0"/>
      <w:autoSpaceDN w:val="0"/>
      <w:adjustRightInd w:val="0"/>
      <w:spacing w:line="230" w:lineRule="exact"/>
    </w:pPr>
    <w:rPr>
      <w:rFonts w:ascii="Arial" w:hAnsi="Arial"/>
    </w:rPr>
  </w:style>
  <w:style w:type="paragraph" w:customStyle="1" w:styleId="Style53">
    <w:name w:val="Style53"/>
    <w:basedOn w:val="Normal"/>
    <w:uiPriority w:val="99"/>
    <w:rsid w:val="004E53A6"/>
    <w:pPr>
      <w:widowControl w:val="0"/>
      <w:autoSpaceDE w:val="0"/>
      <w:autoSpaceDN w:val="0"/>
      <w:adjustRightInd w:val="0"/>
      <w:spacing w:line="341" w:lineRule="exact"/>
      <w:jc w:val="both"/>
    </w:pPr>
    <w:rPr>
      <w:rFonts w:ascii="Arial" w:hAnsi="Arial"/>
    </w:rPr>
  </w:style>
  <w:style w:type="paragraph" w:customStyle="1" w:styleId="Style66">
    <w:name w:val="Style66"/>
    <w:basedOn w:val="Normal"/>
    <w:uiPriority w:val="99"/>
    <w:rsid w:val="004E53A6"/>
    <w:pPr>
      <w:widowControl w:val="0"/>
      <w:autoSpaceDE w:val="0"/>
      <w:autoSpaceDN w:val="0"/>
      <w:adjustRightInd w:val="0"/>
    </w:pPr>
    <w:rPr>
      <w:rFonts w:ascii="Arial" w:hAnsi="Arial"/>
    </w:rPr>
  </w:style>
  <w:style w:type="character" w:customStyle="1" w:styleId="FontStyle129">
    <w:name w:val="Font Style129"/>
    <w:uiPriority w:val="99"/>
    <w:rsid w:val="004E53A6"/>
    <w:rPr>
      <w:rFonts w:ascii="Times New Roman" w:hAnsi="Times New Roman" w:cs="Times New Roman"/>
      <w:i/>
      <w:iCs/>
      <w:color w:val="000000"/>
      <w:sz w:val="14"/>
      <w:szCs w:val="14"/>
    </w:rPr>
  </w:style>
  <w:style w:type="character" w:customStyle="1" w:styleId="FontStyle130">
    <w:name w:val="Font Style130"/>
    <w:uiPriority w:val="99"/>
    <w:rsid w:val="004E53A6"/>
    <w:rPr>
      <w:rFonts w:ascii="Arial" w:hAnsi="Arial" w:cs="Arial"/>
      <w:i/>
      <w:iCs/>
      <w:color w:val="000000"/>
      <w:sz w:val="16"/>
      <w:szCs w:val="16"/>
    </w:rPr>
  </w:style>
  <w:style w:type="character" w:customStyle="1" w:styleId="FontStyle146">
    <w:name w:val="Font Style146"/>
    <w:uiPriority w:val="99"/>
    <w:rsid w:val="004E53A6"/>
    <w:rPr>
      <w:rFonts w:ascii="Times New Roman" w:hAnsi="Times New Roman" w:cs="Times New Roman"/>
      <w:i/>
      <w:iCs/>
      <w:color w:val="000000"/>
      <w:sz w:val="12"/>
      <w:szCs w:val="12"/>
    </w:rPr>
  </w:style>
  <w:style w:type="character" w:customStyle="1" w:styleId="FontStyle148">
    <w:name w:val="Font Style148"/>
    <w:uiPriority w:val="99"/>
    <w:rsid w:val="004E53A6"/>
    <w:rPr>
      <w:rFonts w:ascii="Arial" w:hAnsi="Arial" w:cs="Arial"/>
      <w:color w:val="000000"/>
      <w:sz w:val="16"/>
      <w:szCs w:val="16"/>
    </w:rPr>
  </w:style>
  <w:style w:type="paragraph" w:customStyle="1" w:styleId="Style45">
    <w:name w:val="Style45"/>
    <w:basedOn w:val="Normal"/>
    <w:uiPriority w:val="99"/>
    <w:rsid w:val="00E36B4E"/>
    <w:pPr>
      <w:widowControl w:val="0"/>
      <w:autoSpaceDE w:val="0"/>
      <w:autoSpaceDN w:val="0"/>
      <w:adjustRightInd w:val="0"/>
      <w:spacing w:line="274" w:lineRule="exact"/>
      <w:ind w:hanging="350"/>
      <w:jc w:val="both"/>
    </w:pPr>
    <w:rPr>
      <w:rFonts w:ascii="Arial" w:hAnsi="Arial"/>
    </w:rPr>
  </w:style>
  <w:style w:type="paragraph" w:customStyle="1" w:styleId="Style6">
    <w:name w:val="Style6"/>
    <w:basedOn w:val="Normal"/>
    <w:uiPriority w:val="99"/>
    <w:rsid w:val="007645BE"/>
    <w:pPr>
      <w:widowControl w:val="0"/>
      <w:autoSpaceDE w:val="0"/>
      <w:autoSpaceDN w:val="0"/>
      <w:adjustRightInd w:val="0"/>
      <w:spacing w:line="275" w:lineRule="exact"/>
    </w:pPr>
    <w:rPr>
      <w:rFonts w:ascii="Arial" w:hAnsi="Arial"/>
    </w:rPr>
  </w:style>
  <w:style w:type="character" w:customStyle="1" w:styleId="translation">
    <w:name w:val="translation"/>
    <w:basedOn w:val="DefaultParagraphFont"/>
    <w:rsid w:val="00A34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731735">
      <w:marLeft w:val="0"/>
      <w:marRight w:val="0"/>
      <w:marTop w:val="0"/>
      <w:marBottom w:val="0"/>
      <w:divBdr>
        <w:top w:val="none" w:sz="0" w:space="0" w:color="auto"/>
        <w:left w:val="none" w:sz="0" w:space="0" w:color="auto"/>
        <w:bottom w:val="none" w:sz="0" w:space="0" w:color="auto"/>
        <w:right w:val="none" w:sz="0" w:space="0" w:color="auto"/>
      </w:divBdr>
    </w:div>
    <w:div w:id="530731736">
      <w:marLeft w:val="0"/>
      <w:marRight w:val="0"/>
      <w:marTop w:val="0"/>
      <w:marBottom w:val="0"/>
      <w:divBdr>
        <w:top w:val="none" w:sz="0" w:space="0" w:color="auto"/>
        <w:left w:val="none" w:sz="0" w:space="0" w:color="auto"/>
        <w:bottom w:val="none" w:sz="0" w:space="0" w:color="auto"/>
        <w:right w:val="none" w:sz="0" w:space="0" w:color="auto"/>
      </w:divBdr>
    </w:div>
    <w:div w:id="530731737">
      <w:marLeft w:val="0"/>
      <w:marRight w:val="0"/>
      <w:marTop w:val="0"/>
      <w:marBottom w:val="0"/>
      <w:divBdr>
        <w:top w:val="none" w:sz="0" w:space="0" w:color="auto"/>
        <w:left w:val="none" w:sz="0" w:space="0" w:color="auto"/>
        <w:bottom w:val="none" w:sz="0" w:space="0" w:color="auto"/>
        <w:right w:val="none" w:sz="0" w:space="0" w:color="auto"/>
      </w:divBdr>
    </w:div>
    <w:div w:id="530731738">
      <w:marLeft w:val="0"/>
      <w:marRight w:val="0"/>
      <w:marTop w:val="0"/>
      <w:marBottom w:val="0"/>
      <w:divBdr>
        <w:top w:val="none" w:sz="0" w:space="0" w:color="auto"/>
        <w:left w:val="none" w:sz="0" w:space="0" w:color="auto"/>
        <w:bottom w:val="none" w:sz="0" w:space="0" w:color="auto"/>
        <w:right w:val="none" w:sz="0" w:space="0" w:color="auto"/>
      </w:divBdr>
    </w:div>
    <w:div w:id="530731739">
      <w:marLeft w:val="0"/>
      <w:marRight w:val="0"/>
      <w:marTop w:val="0"/>
      <w:marBottom w:val="0"/>
      <w:divBdr>
        <w:top w:val="none" w:sz="0" w:space="0" w:color="auto"/>
        <w:left w:val="none" w:sz="0" w:space="0" w:color="auto"/>
        <w:bottom w:val="none" w:sz="0" w:space="0" w:color="auto"/>
        <w:right w:val="none" w:sz="0" w:space="0" w:color="auto"/>
      </w:divBdr>
    </w:div>
    <w:div w:id="530731740">
      <w:marLeft w:val="0"/>
      <w:marRight w:val="0"/>
      <w:marTop w:val="0"/>
      <w:marBottom w:val="0"/>
      <w:divBdr>
        <w:top w:val="none" w:sz="0" w:space="0" w:color="auto"/>
        <w:left w:val="none" w:sz="0" w:space="0" w:color="auto"/>
        <w:bottom w:val="none" w:sz="0" w:space="0" w:color="auto"/>
        <w:right w:val="none" w:sz="0" w:space="0" w:color="auto"/>
      </w:divBdr>
    </w:div>
    <w:div w:id="530731741">
      <w:marLeft w:val="0"/>
      <w:marRight w:val="0"/>
      <w:marTop w:val="0"/>
      <w:marBottom w:val="0"/>
      <w:divBdr>
        <w:top w:val="none" w:sz="0" w:space="0" w:color="auto"/>
        <w:left w:val="none" w:sz="0" w:space="0" w:color="auto"/>
        <w:bottom w:val="none" w:sz="0" w:space="0" w:color="auto"/>
        <w:right w:val="none" w:sz="0" w:space="0" w:color="auto"/>
      </w:divBdr>
    </w:div>
    <w:div w:id="530731742">
      <w:marLeft w:val="0"/>
      <w:marRight w:val="0"/>
      <w:marTop w:val="0"/>
      <w:marBottom w:val="0"/>
      <w:divBdr>
        <w:top w:val="none" w:sz="0" w:space="0" w:color="auto"/>
        <w:left w:val="none" w:sz="0" w:space="0" w:color="auto"/>
        <w:bottom w:val="none" w:sz="0" w:space="0" w:color="auto"/>
        <w:right w:val="none" w:sz="0" w:space="0" w:color="auto"/>
      </w:divBdr>
    </w:div>
    <w:div w:id="530731743">
      <w:marLeft w:val="0"/>
      <w:marRight w:val="0"/>
      <w:marTop w:val="0"/>
      <w:marBottom w:val="0"/>
      <w:divBdr>
        <w:top w:val="none" w:sz="0" w:space="0" w:color="auto"/>
        <w:left w:val="none" w:sz="0" w:space="0" w:color="auto"/>
        <w:bottom w:val="none" w:sz="0" w:space="0" w:color="auto"/>
        <w:right w:val="none" w:sz="0" w:space="0" w:color="auto"/>
      </w:divBdr>
    </w:div>
    <w:div w:id="530731744">
      <w:marLeft w:val="0"/>
      <w:marRight w:val="0"/>
      <w:marTop w:val="0"/>
      <w:marBottom w:val="0"/>
      <w:divBdr>
        <w:top w:val="none" w:sz="0" w:space="0" w:color="auto"/>
        <w:left w:val="none" w:sz="0" w:space="0" w:color="auto"/>
        <w:bottom w:val="none" w:sz="0" w:space="0" w:color="auto"/>
        <w:right w:val="none" w:sz="0" w:space="0" w:color="auto"/>
      </w:divBdr>
    </w:div>
    <w:div w:id="530731745">
      <w:marLeft w:val="0"/>
      <w:marRight w:val="0"/>
      <w:marTop w:val="0"/>
      <w:marBottom w:val="0"/>
      <w:divBdr>
        <w:top w:val="none" w:sz="0" w:space="0" w:color="auto"/>
        <w:left w:val="none" w:sz="0" w:space="0" w:color="auto"/>
        <w:bottom w:val="none" w:sz="0" w:space="0" w:color="auto"/>
        <w:right w:val="none" w:sz="0" w:space="0" w:color="auto"/>
      </w:divBdr>
    </w:div>
    <w:div w:id="530731746">
      <w:marLeft w:val="0"/>
      <w:marRight w:val="0"/>
      <w:marTop w:val="0"/>
      <w:marBottom w:val="0"/>
      <w:divBdr>
        <w:top w:val="none" w:sz="0" w:space="0" w:color="auto"/>
        <w:left w:val="none" w:sz="0" w:space="0" w:color="auto"/>
        <w:bottom w:val="none" w:sz="0" w:space="0" w:color="auto"/>
        <w:right w:val="none" w:sz="0" w:space="0" w:color="auto"/>
      </w:divBdr>
    </w:div>
    <w:div w:id="530731747">
      <w:marLeft w:val="0"/>
      <w:marRight w:val="0"/>
      <w:marTop w:val="0"/>
      <w:marBottom w:val="0"/>
      <w:divBdr>
        <w:top w:val="none" w:sz="0" w:space="0" w:color="auto"/>
        <w:left w:val="none" w:sz="0" w:space="0" w:color="auto"/>
        <w:bottom w:val="none" w:sz="0" w:space="0" w:color="auto"/>
        <w:right w:val="none" w:sz="0" w:space="0" w:color="auto"/>
      </w:divBdr>
    </w:div>
    <w:div w:id="530731748">
      <w:marLeft w:val="0"/>
      <w:marRight w:val="0"/>
      <w:marTop w:val="0"/>
      <w:marBottom w:val="0"/>
      <w:divBdr>
        <w:top w:val="none" w:sz="0" w:space="0" w:color="auto"/>
        <w:left w:val="none" w:sz="0" w:space="0" w:color="auto"/>
        <w:bottom w:val="none" w:sz="0" w:space="0" w:color="auto"/>
        <w:right w:val="none" w:sz="0" w:space="0" w:color="auto"/>
      </w:divBdr>
    </w:div>
    <w:div w:id="530731749">
      <w:marLeft w:val="0"/>
      <w:marRight w:val="0"/>
      <w:marTop w:val="0"/>
      <w:marBottom w:val="0"/>
      <w:divBdr>
        <w:top w:val="none" w:sz="0" w:space="0" w:color="auto"/>
        <w:left w:val="none" w:sz="0" w:space="0" w:color="auto"/>
        <w:bottom w:val="none" w:sz="0" w:space="0" w:color="auto"/>
        <w:right w:val="none" w:sz="0" w:space="0" w:color="auto"/>
      </w:divBdr>
    </w:div>
    <w:div w:id="5307317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urostat/web/education-and-training/methodology" TargetMode="Externa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hyperlink" Target="file:///C:\Users\cristina.nitulescu\Desktop\QR%20ultimul\Annexes\trng_cvts_esqrs_ro_an3.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eurostat/web/education-and-training/legislation" TargetMode="Externa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hyperlink" Target="file:///C:\Users\cristina.nitulescu\Desktop\QR%20ultimul\Annexes\trng_cvts_esqrs_ro_an1.xl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www.insse.ro/cms/en/content/characteristics-vocational-training-romanian-enterprises-2015-0"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ec.europa.eu/eurostat/cache/metadata/img/ro.jpg" TargetMode="External"/><Relationship Id="rId24" Type="http://schemas.openxmlformats.org/officeDocument/2006/relationships/oleObject" Target="embeddings/oleObject5.bin"/><Relationship Id="rId32" Type="http://schemas.openxmlformats.org/officeDocument/2006/relationships/hyperlink" Target="http://www.insse.ro"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image" Target="media/image5.wmf"/><Relationship Id="rId31" Type="http://schemas.openxmlformats.org/officeDocument/2006/relationships/hyperlink" Target="http://www.insse.ro/cms/ro/content/rapoarte-de-calitate-anchete-statistice" TargetMode="External"/><Relationship Id="rId4" Type="http://schemas.openxmlformats.org/officeDocument/2006/relationships/settings" Target="settings.xml"/><Relationship Id="rId9" Type="http://schemas.openxmlformats.org/officeDocument/2006/relationships/image" Target="http://ec.europa.eu/eurostat/cache/metadata/img/estat_ce-05.GIF" TargetMode="External"/><Relationship Id="rId14" Type="http://schemas.openxmlformats.org/officeDocument/2006/relationships/hyperlink" Target="http://www.insse.ro/cms/files/Site_eSOP_v2/index.html" TargetMode="External"/><Relationship Id="rId22" Type="http://schemas.openxmlformats.org/officeDocument/2006/relationships/oleObject" Target="embeddings/oleObject4.bin"/><Relationship Id="rId27" Type="http://schemas.openxmlformats.org/officeDocument/2006/relationships/image" Target="media/image9.wmf"/><Relationship Id="rId30" Type="http://schemas.openxmlformats.org/officeDocument/2006/relationships/hyperlink" Target="http://www.insse.ro/cms/en/publicatii-statistice-in-format-electronic" TargetMode="External"/><Relationship Id="rId35" Type="http://schemas.openxmlformats.org/officeDocument/2006/relationships/hyperlink" Target="file:///C:\Users\cristina.nitulescu\Desktop\QR%20ultimul\Annexes\trng_cvts_esqrs_ro_an4.xlsx"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8D6B5-1A25-44DD-9729-6BAD056CF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14</Pages>
  <Words>7070</Words>
  <Characters>40305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CVTS_ESQRS_A_RO_2015_0000</vt:lpstr>
    </vt:vector>
  </TitlesOfParts>
  <Company>INS</Company>
  <LinksUpToDate>false</LinksUpToDate>
  <CharactersWithSpaces>47281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CVTS_ESQRS_A_RO_2015_0000</dc:title>
  <dc:subject/>
  <dc:creator>Cristina Nitulescu</dc:creator>
  <cp:keywords/>
  <dc:description/>
  <cp:lastModifiedBy>Cristina Nitulescu</cp:lastModifiedBy>
  <cp:revision>847</cp:revision>
  <cp:lastPrinted>2018-03-15T11:57:00Z</cp:lastPrinted>
  <dcterms:created xsi:type="dcterms:W3CDTF">2017-09-06T08:39:00Z</dcterms:created>
  <dcterms:modified xsi:type="dcterms:W3CDTF">2018-03-15T11:59:00Z</dcterms:modified>
</cp:coreProperties>
</file>